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E053" w14:textId="71EB2C34" w:rsidR="00740B5D" w:rsidRPr="001D07FE" w:rsidRDefault="00CA7B06" w:rsidP="009C510D">
      <w:pPr>
        <w:pStyle w:val="Heading1"/>
        <w:spacing w:before="360"/>
        <w:rPr>
          <w:szCs w:val="20"/>
        </w:rPr>
      </w:pPr>
      <w:r w:rsidRPr="001D07FE">
        <w:t xml:space="preserve">Instructions </w:t>
      </w:r>
      <w:r w:rsidR="00A30FF1" w:rsidRPr="001D07FE">
        <w:t>et gabarit</w:t>
      </w:r>
      <w:r w:rsidRPr="001D07FE">
        <w:t xml:space="preserve"> de description</w:t>
      </w:r>
      <w:r w:rsidR="008A5610" w:rsidRPr="001D07FE">
        <w:t xml:space="preserve"> </w:t>
      </w:r>
      <w:r w:rsidRPr="001D07FE">
        <w:t>du processus de rétroaction</w:t>
      </w:r>
    </w:p>
    <w:p w14:paraId="5C4D9ABD" w14:textId="48D9EFB5" w:rsidR="005D62A7" w:rsidRPr="00DD585C" w:rsidRDefault="0003033F" w:rsidP="005D62A7">
      <w:pPr>
        <w:rPr>
          <w:rFonts w:cstheme="minorHAnsi"/>
          <w:sz w:val="24"/>
          <w:szCs w:val="24"/>
        </w:rPr>
      </w:pPr>
      <w:r w:rsidRPr="00DD585C">
        <w:rPr>
          <w:sz w:val="24"/>
        </w:rPr>
        <w:t xml:space="preserve">Le </w:t>
      </w:r>
      <w:r w:rsidR="00A30FF1">
        <w:rPr>
          <w:sz w:val="24"/>
        </w:rPr>
        <w:t>gabarit</w:t>
      </w:r>
      <w:r w:rsidRPr="00DD585C">
        <w:rPr>
          <w:sz w:val="24"/>
        </w:rPr>
        <w:t xml:space="preserve"> est conçu pour vous aider à préparer la description du processus de rétroaction de votre organisation afin de respecter vos obligations en vertu de la Loi canadienne sur l’accessibilité (LCA) et du Règlement canadien sur l’accessibilité (RCA). Vous n’êtes pas obligé d’utiliser ce </w:t>
      </w:r>
      <w:r w:rsidR="00A30FF1">
        <w:rPr>
          <w:sz w:val="24"/>
        </w:rPr>
        <w:t>gabarit</w:t>
      </w:r>
      <w:r w:rsidRPr="00DD585C">
        <w:rPr>
          <w:sz w:val="24"/>
        </w:rPr>
        <w:t>.</w:t>
      </w:r>
      <w:r w:rsidRPr="00DD585C">
        <w:rPr>
          <w:b/>
          <w:sz w:val="24"/>
        </w:rPr>
        <w:t xml:space="preserve"> </w:t>
      </w:r>
      <w:r w:rsidRPr="00DD585C">
        <w:rPr>
          <w:sz w:val="24"/>
        </w:rPr>
        <w:t xml:space="preserve">Si quelque chose dans ce </w:t>
      </w:r>
      <w:r w:rsidR="00A30FF1">
        <w:rPr>
          <w:sz w:val="24"/>
        </w:rPr>
        <w:t>gabarit</w:t>
      </w:r>
      <w:r w:rsidRPr="00DD585C">
        <w:rPr>
          <w:sz w:val="24"/>
        </w:rPr>
        <w:t xml:space="preserve"> entre en conflit avec la LCA ou le RCA, le texte de la LCA et du RCA prévaut. </w:t>
      </w:r>
      <w:r w:rsidRPr="00DD585C">
        <w:rPr>
          <w:sz w:val="24"/>
          <w:szCs w:val="24"/>
        </w:rPr>
        <w:t xml:space="preserve">Vous trouverez de plus amples renseignements sur notre site Web : </w:t>
      </w:r>
      <w:hyperlink r:id="rId10" w:history="1">
        <w:r w:rsidRPr="00A30FF1">
          <w:rPr>
            <w:color w:val="0070C0"/>
            <w:sz w:val="24"/>
            <w:szCs w:val="24"/>
            <w:u w:val="single"/>
          </w:rPr>
          <w:t>descriptions du processus de rétroaction</w:t>
        </w:r>
      </w:hyperlink>
      <w:r w:rsidRPr="00DD585C">
        <w:rPr>
          <w:sz w:val="24"/>
          <w:szCs w:val="24"/>
        </w:rPr>
        <w:t xml:space="preserve">. </w:t>
      </w:r>
    </w:p>
    <w:p w14:paraId="26C8F742" w14:textId="584C79FC" w:rsidR="0003033F" w:rsidRPr="00DD585C" w:rsidRDefault="0003033F" w:rsidP="0003033F">
      <w:pPr>
        <w:rPr>
          <w:rFonts w:cstheme="minorHAnsi"/>
          <w:sz w:val="24"/>
          <w:szCs w:val="24"/>
        </w:rPr>
      </w:pPr>
      <w:r w:rsidRPr="00DD585C">
        <w:rPr>
          <w:sz w:val="24"/>
        </w:rPr>
        <w:t xml:space="preserve">Le </w:t>
      </w:r>
      <w:r w:rsidR="00A30FF1">
        <w:rPr>
          <w:sz w:val="24"/>
        </w:rPr>
        <w:t>gabarit</w:t>
      </w:r>
      <w:r w:rsidRPr="00DD585C">
        <w:rPr>
          <w:sz w:val="24"/>
        </w:rPr>
        <w:t xml:space="preserve"> indique tout le contenu que la description d</w:t>
      </w:r>
      <w:r w:rsidR="009C659C" w:rsidRPr="00DD585C">
        <w:rPr>
          <w:sz w:val="24"/>
        </w:rPr>
        <w:t>e votre</w:t>
      </w:r>
      <w:r w:rsidRPr="00DD585C">
        <w:rPr>
          <w:sz w:val="24"/>
        </w:rPr>
        <w:t xml:space="preserve"> processus de rétroaction doit inclure (il s’agit du « </w:t>
      </w:r>
      <w:r w:rsidRPr="00DD585C">
        <w:rPr>
          <w:b/>
          <w:sz w:val="24"/>
        </w:rPr>
        <w:t xml:space="preserve">contenu </w:t>
      </w:r>
      <w:r w:rsidR="00CE550E" w:rsidRPr="00DD585C">
        <w:rPr>
          <w:b/>
          <w:sz w:val="24"/>
        </w:rPr>
        <w:t>exigé</w:t>
      </w:r>
      <w:r w:rsidRPr="00DD585C">
        <w:rPr>
          <w:sz w:val="24"/>
        </w:rPr>
        <w:t xml:space="preserve"> »). À certains endroits, le contenu </w:t>
      </w:r>
      <w:r w:rsidR="00CE550E" w:rsidRPr="00DD585C">
        <w:rPr>
          <w:sz w:val="24"/>
        </w:rPr>
        <w:t>exigé</w:t>
      </w:r>
      <w:r w:rsidRPr="00DD585C">
        <w:rPr>
          <w:sz w:val="24"/>
        </w:rPr>
        <w:t xml:space="preserve"> est présenté dans un exemple de texte. Cela a été fait pour vous aider à préparer la description du processus de rétroaction de votre organisation. Le </w:t>
      </w:r>
      <w:r w:rsidR="00A30FF1">
        <w:rPr>
          <w:sz w:val="24"/>
        </w:rPr>
        <w:t>gabarit</w:t>
      </w:r>
      <w:r w:rsidRPr="00DD585C">
        <w:rPr>
          <w:sz w:val="24"/>
        </w:rPr>
        <w:t xml:space="preserve"> recommande également du contenu supplémentaire pour encourager la rétroaction qui pourrait vous aider à éliminer les obstacles et à améliorer votre plan sur l’accessibilité ou votre processus de rétroaction (« </w:t>
      </w:r>
      <w:r w:rsidRPr="00DD585C">
        <w:rPr>
          <w:b/>
          <w:sz w:val="24"/>
        </w:rPr>
        <w:t>contenu recommandé</w:t>
      </w:r>
      <w:r w:rsidRPr="00DD585C">
        <w:rPr>
          <w:sz w:val="24"/>
        </w:rPr>
        <w:t xml:space="preserve"> »). Vous n’êtes pas obligé d’inclure le contenu recommandé, mais nous vous encourageons à envisager de le faire. </w:t>
      </w:r>
    </w:p>
    <w:p w14:paraId="6BC49110" w14:textId="77777777" w:rsidR="0003033F" w:rsidRPr="00DD585C" w:rsidRDefault="0003033F" w:rsidP="0003033F">
      <w:pPr>
        <w:shd w:val="clear" w:color="auto" w:fill="FFFFFF"/>
        <w:spacing w:before="120" w:after="120"/>
        <w:rPr>
          <w:rFonts w:eastAsia="Times New Roman" w:cstheme="minorHAnsi"/>
          <w:color w:val="222222"/>
          <w:sz w:val="24"/>
          <w:szCs w:val="24"/>
        </w:rPr>
      </w:pPr>
      <w:r w:rsidRPr="00DD585C">
        <w:rPr>
          <w:b/>
          <w:color w:val="222222"/>
          <w:sz w:val="24"/>
        </w:rPr>
        <w:t xml:space="preserve">Autres règlements de la LCA : </w:t>
      </w:r>
      <w:r w:rsidRPr="00DD585C">
        <w:rPr>
          <w:color w:val="222222"/>
          <w:sz w:val="24"/>
        </w:rPr>
        <w:t>En plus de se conformer au RCA, certaines organisations doivent suivre les autres règlements de la LCA :</w:t>
      </w:r>
    </w:p>
    <w:p w14:paraId="6EFE0C1E" w14:textId="7056B3F2" w:rsidR="0003033F" w:rsidRPr="00DD585C" w:rsidRDefault="0003033F" w:rsidP="0003033F">
      <w:pPr>
        <w:numPr>
          <w:ilvl w:val="0"/>
          <w:numId w:val="7"/>
        </w:numPr>
        <w:shd w:val="clear" w:color="auto" w:fill="FFFFFF"/>
        <w:spacing w:before="120" w:after="120"/>
        <w:rPr>
          <w:rFonts w:cstheme="minorHAnsi"/>
          <w:color w:val="222222"/>
          <w:sz w:val="24"/>
          <w:szCs w:val="24"/>
        </w:rPr>
      </w:pPr>
      <w:r w:rsidRPr="00DD585C">
        <w:rPr>
          <w:color w:val="222222"/>
          <w:sz w:val="24"/>
        </w:rPr>
        <w:t xml:space="preserve">Les organisations qui opèrent dans le </w:t>
      </w:r>
      <w:hyperlink r:id="rId11" w:anchor="Competence" w:history="1">
        <w:r w:rsidRPr="00DD585C">
          <w:rPr>
            <w:color w:val="0563C1" w:themeColor="hyperlink"/>
            <w:sz w:val="24"/>
            <w:u w:val="single"/>
          </w:rPr>
          <w:t>rése</w:t>
        </w:r>
        <w:r w:rsidR="00B60F5B" w:rsidRPr="00DD585C">
          <w:rPr>
            <w:color w:val="0563C1" w:themeColor="hyperlink"/>
            <w:sz w:val="24"/>
            <w:u w:val="single"/>
          </w:rPr>
          <w:t>a</w:t>
        </w:r>
        <w:r w:rsidRPr="00DD585C">
          <w:rPr>
            <w:color w:val="0563C1" w:themeColor="hyperlink"/>
            <w:sz w:val="24"/>
            <w:u w:val="single"/>
          </w:rPr>
          <w:t>u de transport fédéral</w:t>
        </w:r>
      </w:hyperlink>
      <w:r w:rsidRPr="00DD585C">
        <w:rPr>
          <w:color w:val="222222"/>
          <w:sz w:val="24"/>
        </w:rPr>
        <w:t xml:space="preserve"> qui sont tenues de respecter tous les règlements sur l’accessibilité de </w:t>
      </w:r>
      <w:r w:rsidRPr="00DD585C">
        <w:rPr>
          <w:b/>
          <w:color w:val="222222"/>
          <w:sz w:val="24"/>
        </w:rPr>
        <w:t>l’Office des transports du Canada</w:t>
      </w:r>
      <w:r w:rsidRPr="00DD585C">
        <w:rPr>
          <w:color w:val="222222"/>
          <w:sz w:val="24"/>
        </w:rPr>
        <w:t xml:space="preserve"> (OTC) ou certains règlements pris en application de la Loi sur les transports au Canada doivent également respecter le Règlement sur l’établissement des plans et des rapports en matière de transports accessibles de l’OTC. Pour en savoir plus sur ces règlements et sur les personnes qui doivent les respecter, </w:t>
      </w:r>
      <w:hyperlink r:id="rId12" w:tgtFrame="_blank" w:history="1">
        <w:r w:rsidRPr="009C510D">
          <w:rPr>
            <w:color w:val="0070C0"/>
            <w:sz w:val="24"/>
            <w:u w:val="single"/>
          </w:rPr>
          <w:t>communiquez avec l’OTC</w:t>
        </w:r>
      </w:hyperlink>
      <w:r w:rsidRPr="00DD585C">
        <w:rPr>
          <w:color w:val="222222"/>
          <w:sz w:val="24"/>
        </w:rPr>
        <w:t xml:space="preserve">. </w:t>
      </w:r>
    </w:p>
    <w:p w14:paraId="2323DE1A" w14:textId="77777777" w:rsidR="0003033F" w:rsidRPr="00DD585C" w:rsidRDefault="0003033F" w:rsidP="0003033F">
      <w:pPr>
        <w:numPr>
          <w:ilvl w:val="0"/>
          <w:numId w:val="7"/>
        </w:numPr>
        <w:shd w:val="clear" w:color="auto" w:fill="FFFFFF"/>
        <w:spacing w:before="120" w:after="120"/>
        <w:rPr>
          <w:rFonts w:cstheme="minorHAnsi"/>
          <w:color w:val="222222"/>
          <w:sz w:val="24"/>
          <w:szCs w:val="24"/>
        </w:rPr>
      </w:pPr>
      <w:r w:rsidRPr="00DD585C">
        <w:rPr>
          <w:color w:val="222222"/>
          <w:sz w:val="24"/>
        </w:rPr>
        <w:t xml:space="preserve">Les organisations de radiodiffusion et de télécommunications doivent également respecter le Règlement concernant les exigences en matière de rapports sur l’accessibilité du </w:t>
      </w:r>
      <w:r w:rsidRPr="00DD585C">
        <w:rPr>
          <w:b/>
          <w:color w:val="222222"/>
          <w:sz w:val="24"/>
        </w:rPr>
        <w:t>Conseil de la radiodiffusion et des télécommunications canadiennes</w:t>
      </w:r>
      <w:r w:rsidRPr="00DD585C">
        <w:rPr>
          <w:color w:val="222222"/>
          <w:sz w:val="24"/>
        </w:rPr>
        <w:t xml:space="preserve"> (CRTC). Pour en savoir plus sur ces règlements et sur les personnes qui doivent les respecter, </w:t>
      </w:r>
      <w:hyperlink r:id="rId13" w:tgtFrame="_blank" w:history="1">
        <w:r w:rsidRPr="00A30FF1">
          <w:rPr>
            <w:color w:val="0070C0"/>
            <w:sz w:val="24"/>
            <w:u w:val="single"/>
          </w:rPr>
          <w:t>communiquez avec le CRTC</w:t>
        </w:r>
      </w:hyperlink>
      <w:r w:rsidRPr="00DD585C">
        <w:rPr>
          <w:color w:val="222222"/>
          <w:sz w:val="24"/>
        </w:rPr>
        <w:t xml:space="preserve">. </w:t>
      </w:r>
    </w:p>
    <w:p w14:paraId="6319F533" w14:textId="5FD29A26" w:rsidR="0003033F" w:rsidRPr="009C510D" w:rsidRDefault="0003033F" w:rsidP="0003033F">
      <w:pPr>
        <w:spacing w:after="164"/>
        <w:rPr>
          <w:rFonts w:cstheme="minorHAnsi"/>
          <w:sz w:val="24"/>
          <w:szCs w:val="24"/>
        </w:rPr>
      </w:pPr>
      <w:r w:rsidRPr="00DD585C">
        <w:rPr>
          <w:sz w:val="24"/>
        </w:rPr>
        <w:t xml:space="preserve">Si votre organisation doit respecter deux règlements de la LCA, vous pouvez choisir de préparer une description du processus de rétroaction distincte en vertu de chaque règlement ou de préparer une description du processus de rétroaction qui répond aux exigences des deux règlements qui </w:t>
      </w:r>
      <w:r w:rsidRPr="009C510D">
        <w:rPr>
          <w:sz w:val="24"/>
          <w:szCs w:val="24"/>
        </w:rPr>
        <w:t xml:space="preserve">s’appliquent à vous. Pour en savoir plus, lisez nos </w:t>
      </w:r>
      <w:hyperlink r:id="rId14" w:history="1">
        <w:r w:rsidRPr="009C510D">
          <w:rPr>
            <w:color w:val="0563C1" w:themeColor="hyperlink"/>
            <w:sz w:val="24"/>
            <w:szCs w:val="24"/>
            <w:u w:val="single"/>
          </w:rPr>
          <w:t>lignes directrices</w:t>
        </w:r>
      </w:hyperlink>
      <w:r w:rsidRPr="009C510D">
        <w:rPr>
          <w:sz w:val="24"/>
          <w:szCs w:val="24"/>
        </w:rPr>
        <w:t xml:space="preserve"> à ce sujet. </w:t>
      </w:r>
    </w:p>
    <w:p w14:paraId="09FC4077" w14:textId="777B2917" w:rsidR="005C2FF9" w:rsidRPr="00DD585C" w:rsidRDefault="00083F0C" w:rsidP="005C2FF9">
      <w:pPr>
        <w:spacing w:after="0"/>
        <w:rPr>
          <w:b/>
          <w:bCs/>
          <w:sz w:val="24"/>
          <w:szCs w:val="24"/>
        </w:rPr>
      </w:pPr>
      <w:bookmarkStart w:id="0" w:name="_Which_Areas_in"/>
      <w:bookmarkStart w:id="1" w:name="_Which_areas_in_1"/>
      <w:bookmarkEnd w:id="0"/>
      <w:bookmarkEnd w:id="1"/>
      <w:r>
        <w:rPr>
          <w:b/>
          <w:sz w:val="24"/>
        </w:rPr>
        <w:br w:type="column"/>
      </w:r>
      <w:r w:rsidR="005C2FF9" w:rsidRPr="00DD585C">
        <w:rPr>
          <w:b/>
          <w:sz w:val="24"/>
        </w:rPr>
        <w:lastRenderedPageBreak/>
        <w:t>N’oubliez pas :</w:t>
      </w:r>
    </w:p>
    <w:p w14:paraId="2D41C99B" w14:textId="09EF2FA9" w:rsidR="005C2FF9" w:rsidRPr="00DD585C" w:rsidRDefault="00070FED" w:rsidP="005C2FF9">
      <w:pPr>
        <w:numPr>
          <w:ilvl w:val="0"/>
          <w:numId w:val="1"/>
        </w:numPr>
        <w:contextualSpacing/>
        <w:rPr>
          <w:sz w:val="24"/>
          <w:szCs w:val="24"/>
        </w:rPr>
      </w:pPr>
      <w:r w:rsidRPr="00DD585C">
        <w:rPr>
          <w:sz w:val="24"/>
        </w:rPr>
        <w:t xml:space="preserve">Bien que ce ne soit pas obligatoire, nous vous recommandons de tenir compte des </w:t>
      </w:r>
      <w:r w:rsidRPr="00DD585C">
        <w:rPr>
          <w:b/>
          <w:sz w:val="24"/>
        </w:rPr>
        <w:t>principes</w:t>
      </w:r>
      <w:r w:rsidRPr="00DD585C">
        <w:rPr>
          <w:sz w:val="24"/>
        </w:rPr>
        <w:t xml:space="preserve"> énoncés à l’</w:t>
      </w:r>
      <w:hyperlink r:id="rId15" w:history="1">
        <w:r w:rsidRPr="00DD585C">
          <w:rPr>
            <w:color w:val="0563C1" w:themeColor="hyperlink"/>
            <w:sz w:val="24"/>
            <w:u w:val="single"/>
          </w:rPr>
          <w:t>article 6 de la LCA</w:t>
        </w:r>
      </w:hyperlink>
      <w:r w:rsidRPr="00DD585C">
        <w:rPr>
          <w:sz w:val="24"/>
        </w:rPr>
        <w:t xml:space="preserve"> lorsque vous préparerez </w:t>
      </w:r>
      <w:r w:rsidR="00014B0D" w:rsidRPr="00DD585C">
        <w:rPr>
          <w:sz w:val="24"/>
        </w:rPr>
        <w:t>la</w:t>
      </w:r>
      <w:r w:rsidRPr="00DD585C">
        <w:rPr>
          <w:sz w:val="24"/>
        </w:rPr>
        <w:t xml:space="preserve"> description d</w:t>
      </w:r>
      <w:r w:rsidR="00F90493" w:rsidRPr="00DD585C">
        <w:rPr>
          <w:sz w:val="24"/>
        </w:rPr>
        <w:t>e votre</w:t>
      </w:r>
      <w:r w:rsidRPr="00DD585C">
        <w:rPr>
          <w:sz w:val="24"/>
        </w:rPr>
        <w:t xml:space="preserve"> processus de rétroaction. </w:t>
      </w:r>
    </w:p>
    <w:p w14:paraId="6300BAAC" w14:textId="6AAFBEB5" w:rsidR="005C2FF9" w:rsidRPr="00A30FF1" w:rsidRDefault="005C2FF9" w:rsidP="00A30FF1">
      <w:pPr>
        <w:numPr>
          <w:ilvl w:val="0"/>
          <w:numId w:val="1"/>
        </w:numPr>
        <w:contextualSpacing/>
        <w:rPr>
          <w:sz w:val="24"/>
          <w:szCs w:val="24"/>
        </w:rPr>
      </w:pPr>
      <w:r w:rsidRPr="00DD585C">
        <w:rPr>
          <w:sz w:val="24"/>
        </w:rPr>
        <w:t>Vous devez rédiger la description d</w:t>
      </w:r>
      <w:r w:rsidR="00F90493" w:rsidRPr="00DD585C">
        <w:rPr>
          <w:sz w:val="24"/>
        </w:rPr>
        <w:t>e votre</w:t>
      </w:r>
      <w:r w:rsidRPr="00DD585C">
        <w:rPr>
          <w:sz w:val="24"/>
        </w:rPr>
        <w:t xml:space="preserve"> processus de rétroaction dans un </w:t>
      </w:r>
      <w:r w:rsidRPr="00DD585C">
        <w:rPr>
          <w:b/>
          <w:sz w:val="24"/>
        </w:rPr>
        <w:t>langage simple, clair et concis</w:t>
      </w:r>
      <w:r w:rsidRPr="00DD585C">
        <w:rPr>
          <w:sz w:val="24"/>
        </w:rPr>
        <w:t xml:space="preserve"> (« langage clair »). Cela veut dire un langage facile à lire et à comprendre. Évitez d’utiliser des termes techniques et du jargon. </w:t>
      </w:r>
      <w:r w:rsidRPr="00DD585C">
        <w:t>Pour en savoir plus, lisez les</w:t>
      </w:r>
      <w:r w:rsidRPr="00DD585C">
        <w:rPr>
          <w:sz w:val="24"/>
        </w:rPr>
        <w:t xml:space="preserve"> </w:t>
      </w:r>
      <w:hyperlink r:id="rId16" w:tgtFrame="_blank" w:history="1">
        <w:r w:rsidRPr="00DD585C">
          <w:rPr>
            <w:color w:val="0563C1" w:themeColor="hyperlink"/>
            <w:sz w:val="24"/>
            <w:u w:val="single"/>
          </w:rPr>
          <w:t>Lignes directrices sur un langage simple, clair et concis</w:t>
        </w:r>
      </w:hyperlink>
      <w:r w:rsidRPr="00DD585C">
        <w:rPr>
          <w:sz w:val="24"/>
        </w:rPr>
        <w:t xml:space="preserve"> d’EDSC.</w:t>
      </w:r>
    </w:p>
    <w:p w14:paraId="16857392" w14:textId="4EFC1955" w:rsidR="00B801B4" w:rsidRPr="00DD585C" w:rsidRDefault="00B801B4" w:rsidP="00393B92">
      <w:pPr>
        <w:numPr>
          <w:ilvl w:val="0"/>
          <w:numId w:val="1"/>
        </w:numPr>
        <w:contextualSpacing/>
        <w:rPr>
          <w:sz w:val="24"/>
          <w:szCs w:val="24"/>
        </w:rPr>
      </w:pPr>
      <w:r w:rsidRPr="00DD585C">
        <w:rPr>
          <w:sz w:val="24"/>
        </w:rPr>
        <w:t xml:space="preserve">Si vous décidez d’inclure la description de votre processus de rétroaction dans votre plan sur l’accessibilité, assurez-vous qu’elle répond à toutes les exigences applicables de la LCA et du RCA. Vous devez également vous assurer que </w:t>
      </w:r>
      <w:r w:rsidRPr="00DD585C">
        <w:rPr>
          <w:rStyle w:val="cf01"/>
          <w:rFonts w:asciiTheme="minorHAnsi" w:hAnsiTheme="minorHAnsi"/>
          <w:sz w:val="24"/>
        </w:rPr>
        <w:t>votre plan sur l’accessibilité indique clairement la description du processus de rétroaction à l’aide d’un en-tête approprié</w:t>
      </w:r>
      <w:r w:rsidRPr="00DD585C">
        <w:rPr>
          <w:sz w:val="24"/>
        </w:rPr>
        <w:t>.</w:t>
      </w:r>
      <w:r w:rsidRPr="00DD585C">
        <w:rPr>
          <w:rStyle w:val="cf01"/>
          <w:rFonts w:asciiTheme="minorHAnsi" w:hAnsiTheme="minorHAnsi"/>
          <w:sz w:val="24"/>
        </w:rPr>
        <w:t xml:space="preserve"> Vous devez également fournir un lien hypertexte, de votre écran d’accueil ou de votre page d’accueil à la description du processus de rétroaction contenue dans votre plan sur l’accessibilité. Pour en savoir plus sur la publication de la description du processus de rétroaction, consultez </w:t>
      </w:r>
      <w:hyperlink r:id="rId17" w:history="1">
        <w:r w:rsidRPr="00A30FF1">
          <w:rPr>
            <w:rStyle w:val="Hyperlink"/>
            <w:color w:val="0070C0"/>
            <w:sz w:val="24"/>
          </w:rPr>
          <w:t>Publication de vos documents</w:t>
        </w:r>
      </w:hyperlink>
      <w:r w:rsidRPr="00DD585C">
        <w:rPr>
          <w:sz w:val="24"/>
        </w:rPr>
        <w:t>.</w:t>
      </w:r>
    </w:p>
    <w:p w14:paraId="2E065192" w14:textId="148CE7F1" w:rsidR="005C2FF9" w:rsidRPr="00DD585C" w:rsidRDefault="005C2FF9" w:rsidP="005C2FF9">
      <w:pPr>
        <w:numPr>
          <w:ilvl w:val="0"/>
          <w:numId w:val="1"/>
        </w:numPr>
        <w:contextualSpacing/>
        <w:rPr>
          <w:sz w:val="24"/>
          <w:szCs w:val="24"/>
        </w:rPr>
      </w:pPr>
      <w:r w:rsidRPr="00DD585C">
        <w:rPr>
          <w:sz w:val="24"/>
        </w:rPr>
        <w:t xml:space="preserve">Vous devez informer le commissaire à l’accessibilité dans les 48 heures suivant la publication de la description de votre processus de rétroaction. Vous devez le faire par le biais de </w:t>
      </w:r>
      <w:hyperlink r:id="rId18" w:history="1">
        <w:r w:rsidRPr="00DD585C">
          <w:rPr>
            <w:color w:val="0563C1" w:themeColor="hyperlink"/>
            <w:sz w:val="24"/>
            <w:u w:val="single"/>
          </w:rPr>
          <w:t>Mon portail accessibilité</w:t>
        </w:r>
      </w:hyperlink>
      <w:r w:rsidRPr="00DD585C">
        <w:rPr>
          <w:sz w:val="24"/>
        </w:rPr>
        <w:t>. Votre avis doit comprendre :</w:t>
      </w:r>
    </w:p>
    <w:p w14:paraId="437415E5" w14:textId="00F7CEE3" w:rsidR="005C2FF9" w:rsidRPr="00DD585C" w:rsidRDefault="005C2FF9" w:rsidP="005C2FF9">
      <w:pPr>
        <w:numPr>
          <w:ilvl w:val="0"/>
          <w:numId w:val="2"/>
        </w:numPr>
        <w:contextualSpacing/>
        <w:rPr>
          <w:sz w:val="24"/>
          <w:szCs w:val="24"/>
        </w:rPr>
      </w:pPr>
      <w:r w:rsidRPr="00DD585C">
        <w:rPr>
          <w:sz w:val="24"/>
        </w:rPr>
        <w:t>L’adresse URL de la description de votre processus de rétroaction;</w:t>
      </w:r>
    </w:p>
    <w:p w14:paraId="5778D372" w14:textId="4F1D2934" w:rsidR="005C2FF9" w:rsidRPr="00DD585C" w:rsidRDefault="005C2FF9" w:rsidP="005C2FF9">
      <w:pPr>
        <w:numPr>
          <w:ilvl w:val="0"/>
          <w:numId w:val="2"/>
        </w:numPr>
        <w:contextualSpacing/>
        <w:rPr>
          <w:sz w:val="24"/>
          <w:szCs w:val="24"/>
        </w:rPr>
      </w:pPr>
      <w:r w:rsidRPr="00DD585C">
        <w:rPr>
          <w:sz w:val="24"/>
        </w:rPr>
        <w:t>Le lien hypertexte vers l’adresse URL;</w:t>
      </w:r>
    </w:p>
    <w:p w14:paraId="17A66DE4" w14:textId="77777777" w:rsidR="00083F0C" w:rsidRPr="00083F0C" w:rsidRDefault="005C2FF9" w:rsidP="0083334F">
      <w:pPr>
        <w:numPr>
          <w:ilvl w:val="0"/>
          <w:numId w:val="2"/>
        </w:numPr>
        <w:contextualSpacing/>
        <w:rPr>
          <w:sz w:val="24"/>
          <w:szCs w:val="24"/>
        </w:rPr>
      </w:pPr>
      <w:r w:rsidRPr="00DD585C">
        <w:rPr>
          <w:sz w:val="24"/>
        </w:rPr>
        <w:t xml:space="preserve">L’adresse postale de votre entreprise où vous avez affiché une copie imprimée de la description de votre processus de rétroaction.     </w:t>
      </w:r>
    </w:p>
    <w:p w14:paraId="329F63DD" w14:textId="77777777" w:rsidR="00083F0C" w:rsidRPr="007523DC" w:rsidRDefault="00083F0C" w:rsidP="007523DC">
      <w:pPr>
        <w:pStyle w:val="Heading2"/>
      </w:pPr>
      <w:r>
        <w:rPr>
          <w:sz w:val="24"/>
        </w:rPr>
        <w:br w:type="column"/>
      </w:r>
      <w:r w:rsidR="005C2FF9" w:rsidRPr="00DD585C">
        <w:rPr>
          <w:sz w:val="24"/>
        </w:rPr>
        <w:lastRenderedPageBreak/>
        <w:t xml:space="preserve"> </w:t>
      </w:r>
      <w:bookmarkStart w:id="2" w:name="_Hlk149308663"/>
      <w:r w:rsidRPr="007523DC">
        <w:t>Gabarit</w:t>
      </w:r>
      <w:bookmarkEnd w:id="2"/>
      <w:r w:rsidRPr="007523DC">
        <w:t xml:space="preserve"> d’une description du processus de rétroaction</w:t>
      </w:r>
    </w:p>
    <w:p w14:paraId="27C6E2EA" w14:textId="77777777" w:rsidR="00083F0C" w:rsidRPr="00B84394" w:rsidRDefault="00083F0C" w:rsidP="00083F0C">
      <w:pPr>
        <w:rPr>
          <w:sz w:val="24"/>
          <w:szCs w:val="24"/>
        </w:rPr>
      </w:pPr>
      <w:r w:rsidRPr="00B84394">
        <w:rPr>
          <w:b/>
          <w:i/>
          <w:sz w:val="24"/>
          <w:szCs w:val="24"/>
        </w:rPr>
        <w:t>(</w:t>
      </w:r>
      <w:bookmarkStart w:id="3" w:name="_Hlk149309788"/>
      <w:r w:rsidRPr="00B84394">
        <w:rPr>
          <w:b/>
          <w:i/>
          <w:sz w:val="24"/>
          <w:szCs w:val="24"/>
        </w:rPr>
        <w:t>Contenu exigé</w:t>
      </w:r>
      <w:bookmarkEnd w:id="3"/>
      <w:r w:rsidRPr="00B84394">
        <w:rPr>
          <w:b/>
          <w:i/>
          <w:sz w:val="24"/>
          <w:szCs w:val="24"/>
        </w:rPr>
        <w:t xml:space="preserve">) </w:t>
      </w:r>
      <w:r w:rsidRPr="00B84394">
        <w:rPr>
          <w:sz w:val="24"/>
          <w:szCs w:val="24"/>
        </w:rPr>
        <w:t xml:space="preserve">Vous pouvez utiliser notre processus de rétroaction pour fournir </w:t>
      </w:r>
      <w:proofErr w:type="gramStart"/>
      <w:r w:rsidRPr="00B84394">
        <w:rPr>
          <w:sz w:val="24"/>
          <w:szCs w:val="24"/>
        </w:rPr>
        <w:t>vos commentaires sur</w:t>
      </w:r>
      <w:proofErr w:type="gramEnd"/>
      <w:r w:rsidRPr="00B84394">
        <w:rPr>
          <w:sz w:val="24"/>
          <w:szCs w:val="24"/>
        </w:rPr>
        <w:t xml:space="preserve"> : </w:t>
      </w:r>
    </w:p>
    <w:p w14:paraId="13FBE561" w14:textId="77777777" w:rsidR="00083F0C" w:rsidRPr="00B84394" w:rsidRDefault="00083F0C" w:rsidP="00083F0C">
      <w:pPr>
        <w:pStyle w:val="ListParagraph"/>
        <w:numPr>
          <w:ilvl w:val="0"/>
          <w:numId w:val="12"/>
        </w:numPr>
        <w:rPr>
          <w:sz w:val="24"/>
          <w:szCs w:val="24"/>
        </w:rPr>
      </w:pPr>
      <w:proofErr w:type="gramStart"/>
      <w:r w:rsidRPr="00B84394">
        <w:rPr>
          <w:sz w:val="24"/>
          <w:szCs w:val="24"/>
        </w:rPr>
        <w:t>les</w:t>
      </w:r>
      <w:proofErr w:type="gramEnd"/>
      <w:r w:rsidRPr="00B84394">
        <w:rPr>
          <w:sz w:val="24"/>
          <w:szCs w:val="24"/>
        </w:rPr>
        <w:t xml:space="preserve"> obstacles dans les rapports avec votre organisation;</w:t>
      </w:r>
    </w:p>
    <w:p w14:paraId="419B80D2" w14:textId="77777777" w:rsidR="00083F0C" w:rsidRPr="00B84394" w:rsidRDefault="00083F0C" w:rsidP="00083F0C">
      <w:pPr>
        <w:pStyle w:val="ListParagraph"/>
        <w:numPr>
          <w:ilvl w:val="0"/>
          <w:numId w:val="12"/>
        </w:numPr>
        <w:rPr>
          <w:sz w:val="24"/>
          <w:szCs w:val="24"/>
        </w:rPr>
      </w:pPr>
      <w:proofErr w:type="gramStart"/>
      <w:r w:rsidRPr="00B84394">
        <w:rPr>
          <w:sz w:val="24"/>
          <w:szCs w:val="24"/>
        </w:rPr>
        <w:t>la</w:t>
      </w:r>
      <w:proofErr w:type="gramEnd"/>
      <w:r w:rsidRPr="00B84394">
        <w:rPr>
          <w:sz w:val="24"/>
          <w:szCs w:val="24"/>
        </w:rPr>
        <w:t xml:space="preserve"> façon dont vous mettez en œuvre votre plan sur l’accessibilité.</w:t>
      </w:r>
    </w:p>
    <w:p w14:paraId="05A9D62E" w14:textId="77777777" w:rsidR="00083F0C" w:rsidRPr="00B84394" w:rsidRDefault="00083F0C" w:rsidP="00083F0C">
      <w:pPr>
        <w:rPr>
          <w:b/>
          <w:bCs/>
          <w:i/>
          <w:iCs/>
          <w:sz w:val="24"/>
          <w:szCs w:val="24"/>
        </w:rPr>
      </w:pPr>
      <w:r w:rsidRPr="00B84394">
        <w:rPr>
          <w:b/>
          <w:i/>
          <w:sz w:val="24"/>
          <w:szCs w:val="24"/>
        </w:rPr>
        <w:t xml:space="preserve">(Contenu recommandé) </w:t>
      </w:r>
      <w:r w:rsidRPr="00B84394">
        <w:rPr>
          <w:sz w:val="24"/>
          <w:szCs w:val="24"/>
        </w:rPr>
        <w:t>Une rétroaction peut également être fournie sur :</w:t>
      </w:r>
    </w:p>
    <w:p w14:paraId="5F8A46AD" w14:textId="77777777" w:rsidR="00083F0C" w:rsidRPr="00B84394" w:rsidRDefault="00083F0C" w:rsidP="00083F0C">
      <w:pPr>
        <w:pStyle w:val="ListParagraph"/>
        <w:numPr>
          <w:ilvl w:val="0"/>
          <w:numId w:val="13"/>
        </w:numPr>
        <w:rPr>
          <w:b/>
          <w:bCs/>
          <w:i/>
          <w:iCs/>
          <w:sz w:val="24"/>
          <w:szCs w:val="24"/>
        </w:rPr>
      </w:pPr>
      <w:proofErr w:type="gramStart"/>
      <w:r w:rsidRPr="00B84394">
        <w:rPr>
          <w:sz w:val="24"/>
          <w:szCs w:val="24"/>
        </w:rPr>
        <w:t>la</w:t>
      </w:r>
      <w:proofErr w:type="gramEnd"/>
      <w:r w:rsidRPr="00B84394">
        <w:rPr>
          <w:sz w:val="24"/>
          <w:szCs w:val="24"/>
        </w:rPr>
        <w:t xml:space="preserve"> façon d’éliminer les obstacles qui ont été cernés; </w:t>
      </w:r>
    </w:p>
    <w:p w14:paraId="56C63BE1" w14:textId="77777777" w:rsidR="00083F0C" w:rsidRPr="00B84394" w:rsidRDefault="00083F0C" w:rsidP="00083F0C">
      <w:pPr>
        <w:pStyle w:val="ListParagraph"/>
        <w:numPr>
          <w:ilvl w:val="0"/>
          <w:numId w:val="13"/>
        </w:numPr>
        <w:rPr>
          <w:b/>
          <w:bCs/>
          <w:i/>
          <w:iCs/>
          <w:sz w:val="24"/>
          <w:szCs w:val="24"/>
        </w:rPr>
      </w:pPr>
      <w:proofErr w:type="gramStart"/>
      <w:r w:rsidRPr="00B84394">
        <w:rPr>
          <w:sz w:val="24"/>
          <w:szCs w:val="24"/>
        </w:rPr>
        <w:t>votre</w:t>
      </w:r>
      <w:proofErr w:type="gramEnd"/>
      <w:r w:rsidRPr="00B84394">
        <w:rPr>
          <w:sz w:val="24"/>
          <w:szCs w:val="24"/>
        </w:rPr>
        <w:t xml:space="preserve"> plan sur l’accessibilité;</w:t>
      </w:r>
    </w:p>
    <w:p w14:paraId="0DF40933" w14:textId="77777777" w:rsidR="00083F0C" w:rsidRPr="00B84394" w:rsidRDefault="00083F0C" w:rsidP="00083F0C">
      <w:pPr>
        <w:pStyle w:val="ListParagraph"/>
        <w:numPr>
          <w:ilvl w:val="0"/>
          <w:numId w:val="13"/>
        </w:numPr>
        <w:rPr>
          <w:b/>
          <w:bCs/>
          <w:i/>
          <w:iCs/>
          <w:sz w:val="24"/>
          <w:szCs w:val="24"/>
        </w:rPr>
      </w:pPr>
      <w:proofErr w:type="gramStart"/>
      <w:r w:rsidRPr="00B84394">
        <w:rPr>
          <w:sz w:val="24"/>
          <w:szCs w:val="24"/>
        </w:rPr>
        <w:t>votre</w:t>
      </w:r>
      <w:proofErr w:type="gramEnd"/>
      <w:r w:rsidRPr="00B84394">
        <w:rPr>
          <w:sz w:val="24"/>
          <w:szCs w:val="24"/>
        </w:rPr>
        <w:t xml:space="preserve"> processus de rétroaction.</w:t>
      </w:r>
    </w:p>
    <w:p w14:paraId="66119090" w14:textId="77777777" w:rsidR="00083F0C" w:rsidRPr="00B84394" w:rsidRDefault="00083F0C" w:rsidP="00083F0C">
      <w:pPr>
        <w:rPr>
          <w:sz w:val="24"/>
          <w:szCs w:val="24"/>
        </w:rPr>
      </w:pPr>
      <w:r w:rsidRPr="00B84394">
        <w:rPr>
          <w:b/>
          <w:i/>
          <w:sz w:val="24"/>
          <w:szCs w:val="24"/>
        </w:rPr>
        <w:t>(Contenu exigé)</w:t>
      </w:r>
      <w:r w:rsidRPr="00B84394">
        <w:rPr>
          <w:sz w:val="24"/>
          <w:szCs w:val="24"/>
        </w:rPr>
        <w:t xml:space="preserve"> Veuillez envoyer vos commentaires à notre </w:t>
      </w:r>
      <w:r w:rsidRPr="00B84394">
        <w:rPr>
          <w:sz w:val="24"/>
          <w:szCs w:val="24"/>
          <w:u w:val="single"/>
        </w:rPr>
        <w:tab/>
      </w:r>
      <w:r w:rsidRPr="00B84394">
        <w:rPr>
          <w:sz w:val="24"/>
          <w:szCs w:val="24"/>
          <w:u w:val="single"/>
        </w:rPr>
        <w:tab/>
      </w:r>
      <w:r w:rsidRPr="00B84394">
        <w:rPr>
          <w:sz w:val="24"/>
          <w:szCs w:val="24"/>
          <w:u w:val="single"/>
        </w:rPr>
        <w:tab/>
      </w:r>
      <w:r w:rsidRPr="00B84394">
        <w:rPr>
          <w:sz w:val="24"/>
          <w:szCs w:val="24"/>
          <w:u w:val="single"/>
        </w:rPr>
        <w:tab/>
      </w:r>
      <w:r w:rsidRPr="00B84394">
        <w:rPr>
          <w:sz w:val="24"/>
          <w:szCs w:val="24"/>
          <w:u w:val="single"/>
        </w:rPr>
        <w:tab/>
      </w:r>
      <w:r w:rsidRPr="00B84394">
        <w:rPr>
          <w:sz w:val="24"/>
          <w:szCs w:val="24"/>
        </w:rPr>
        <w:t xml:space="preserve"> </w:t>
      </w:r>
      <w:r w:rsidRPr="00B84394">
        <w:rPr>
          <w:b/>
          <w:i/>
          <w:sz w:val="24"/>
          <w:szCs w:val="24"/>
        </w:rPr>
        <w:t>(Exigé : le titre du poste de la personne au sein de votre organisation qui est responsable de recevoir la rétroaction liée à l’accessibilité</w:t>
      </w:r>
      <w:r w:rsidRPr="00B84394">
        <w:rPr>
          <w:i/>
          <w:sz w:val="24"/>
          <w:szCs w:val="24"/>
        </w:rPr>
        <w:t>. Exemple : gestionnaire du service clientèle.</w:t>
      </w:r>
      <w:r w:rsidRPr="00B84394">
        <w:rPr>
          <w:sz w:val="24"/>
          <w:szCs w:val="24"/>
        </w:rPr>
        <w:t xml:space="preserve">) </w:t>
      </w:r>
    </w:p>
    <w:p w14:paraId="4AE3D681" w14:textId="77777777" w:rsidR="00083F0C" w:rsidRPr="00B84394" w:rsidRDefault="00083F0C" w:rsidP="00083F0C">
      <w:pPr>
        <w:rPr>
          <w:sz w:val="24"/>
          <w:szCs w:val="24"/>
        </w:rPr>
      </w:pPr>
      <w:bookmarkStart w:id="4" w:name="_Hlk149313252"/>
      <w:r w:rsidRPr="00B84394">
        <w:rPr>
          <w:b/>
          <w:i/>
          <w:sz w:val="24"/>
          <w:szCs w:val="24"/>
        </w:rPr>
        <w:t>(Contenu exigé)</w:t>
      </w:r>
      <w:r w:rsidRPr="00B84394">
        <w:rPr>
          <w:sz w:val="24"/>
          <w:szCs w:val="24"/>
        </w:rPr>
        <w:t xml:space="preserve"> </w:t>
      </w:r>
      <w:bookmarkEnd w:id="4"/>
      <w:r w:rsidRPr="00B84394">
        <w:rPr>
          <w:sz w:val="24"/>
          <w:szCs w:val="24"/>
        </w:rPr>
        <w:t xml:space="preserve">Vous pouvez envoyer vos commentaires par courriel, par téléphone ou par la poste en utilisant les coordonnées ci-dessous. Vous pouvez également envoyer vos commentaires de façon anonyme. Nous accuserons réception de vos commentaires de la même façon que vous nous les avez envoyés, à moins qu’ils aient été fournis de façon anonyme. </w:t>
      </w:r>
    </w:p>
    <w:p w14:paraId="21A8E5D0" w14:textId="77777777" w:rsidR="00083F0C" w:rsidRPr="001374DE" w:rsidRDefault="00083F0C" w:rsidP="00083F0C">
      <w:pPr>
        <w:rPr>
          <w:b/>
          <w:sz w:val="24"/>
        </w:rPr>
      </w:pPr>
      <w:bookmarkStart w:id="5" w:name="_Hlk149308757"/>
      <w:r w:rsidRPr="00B84394">
        <w:rPr>
          <w:b/>
          <w:i/>
          <w:sz w:val="24"/>
          <w:szCs w:val="24"/>
        </w:rPr>
        <w:t>(Contenu exigé)</w:t>
      </w:r>
      <w:r w:rsidRPr="00B84394">
        <w:rPr>
          <w:sz w:val="24"/>
          <w:szCs w:val="24"/>
        </w:rPr>
        <w:t xml:space="preserve"> </w:t>
      </w:r>
      <w:bookmarkEnd w:id="5"/>
      <w:r w:rsidRPr="00B84394">
        <w:rPr>
          <w:sz w:val="24"/>
          <w:szCs w:val="24"/>
        </w:rPr>
        <w:t xml:space="preserve">Vous pouvez également communiquer avec nous pour obtenir une copie de notre plan sur l’accessibilité et de la description de notre processus de rétroaction dans les </w:t>
      </w:r>
      <w:r w:rsidRPr="00B84394">
        <w:rPr>
          <w:b/>
          <w:sz w:val="24"/>
          <w:szCs w:val="24"/>
        </w:rPr>
        <w:t>médias substituts</w:t>
      </w:r>
      <w:r w:rsidRPr="00B84394">
        <w:rPr>
          <w:sz w:val="24"/>
          <w:szCs w:val="24"/>
        </w:rPr>
        <w:t xml:space="preserve"> suivants : imprimé, gros caractères, braille, format audio ou électronique compatible avec les technologies d’adaptation destinées à aider les personnes handicapées. Nous vous fournirons le format que vous demandez le plus tôt possible. Les formats </w:t>
      </w:r>
      <w:proofErr w:type="gramStart"/>
      <w:r w:rsidRPr="00B84394">
        <w:rPr>
          <w:sz w:val="24"/>
          <w:szCs w:val="24"/>
        </w:rPr>
        <w:t>braille</w:t>
      </w:r>
      <w:proofErr w:type="gramEnd"/>
      <w:r w:rsidRPr="00B84394">
        <w:rPr>
          <w:sz w:val="24"/>
          <w:szCs w:val="24"/>
        </w:rPr>
        <w:t xml:space="preserve"> et audio peuvent prendre jusqu’à 45 jours. Les formats imprimés, en gros caractères et électroniques peuvent prendre </w:t>
      </w:r>
      <w:r w:rsidRPr="00B84394">
        <w:rPr>
          <w:sz w:val="24"/>
          <w:szCs w:val="24"/>
          <w:u w:val="single"/>
        </w:rPr>
        <w:tab/>
      </w:r>
      <w:r w:rsidRPr="00B84394">
        <w:rPr>
          <w:sz w:val="24"/>
          <w:szCs w:val="24"/>
          <w:u w:val="single"/>
        </w:rPr>
        <w:tab/>
      </w:r>
      <w:r w:rsidRPr="00B84394">
        <w:rPr>
          <w:sz w:val="24"/>
          <w:szCs w:val="24"/>
        </w:rPr>
        <w:t xml:space="preserve"> jours. (</w:t>
      </w:r>
      <w:r w:rsidRPr="00B84394">
        <w:rPr>
          <w:b/>
          <w:i/>
          <w:sz w:val="24"/>
          <w:szCs w:val="24"/>
        </w:rPr>
        <w:t>Insérez la date limite qui s’applique à votre organisation </w:t>
      </w:r>
      <w:r w:rsidRPr="00B84394">
        <w:rPr>
          <w:i/>
          <w:sz w:val="24"/>
          <w:szCs w:val="24"/>
        </w:rPr>
        <w:t xml:space="preserve">: </w:t>
      </w:r>
      <w:r>
        <w:rPr>
          <w:i/>
          <w:sz w:val="24"/>
        </w:rPr>
        <w:t>15 jours si vous êtes une organisation gouvernementale ou une organisation privée comptant 100 employés ou plus, OU 20 jours si vous êtes une organisation privée comptant moins de 100 employés</w:t>
      </w:r>
      <w:r>
        <w:rPr>
          <w:sz w:val="24"/>
        </w:rPr>
        <w:t xml:space="preserve">). </w:t>
      </w:r>
    </w:p>
    <w:p w14:paraId="678512F5" w14:textId="77777777" w:rsidR="00083F0C" w:rsidRPr="00717D54" w:rsidRDefault="00083F0C" w:rsidP="00083F0C">
      <w:pPr>
        <w:keepNext/>
        <w:keepLines/>
        <w:spacing w:before="240" w:after="120"/>
        <w:outlineLvl w:val="2"/>
        <w:rPr>
          <w:rFonts w:eastAsia="Times New Roman" w:cstheme="majorBidi"/>
          <w:bCs/>
          <w:sz w:val="24"/>
          <w:szCs w:val="24"/>
        </w:rPr>
      </w:pPr>
      <w:r>
        <w:rPr>
          <w:b/>
          <w:i/>
          <w:sz w:val="24"/>
          <w:u w:val="single"/>
        </w:rPr>
        <w:lastRenderedPageBreak/>
        <w:t>(Contenu exigé)</w:t>
      </w:r>
      <w:r>
        <w:rPr>
          <w:sz w:val="24"/>
        </w:rPr>
        <w:t xml:space="preserve"> Une description détaillée de la façon dont vous utiliserez les commentaires que vous recevrez. </w:t>
      </w:r>
    </w:p>
    <w:p w14:paraId="77353C42" w14:textId="77777777" w:rsidR="00083F0C" w:rsidRPr="00717D54" w:rsidRDefault="00083F0C" w:rsidP="00083F0C">
      <w:pPr>
        <w:keepNext/>
        <w:keepLines/>
        <w:spacing w:before="120" w:after="120"/>
        <w:outlineLvl w:val="2"/>
        <w:rPr>
          <w:rFonts w:eastAsia="Times New Roman" w:cstheme="majorBidi"/>
          <w:bCs/>
          <w:sz w:val="24"/>
          <w:szCs w:val="24"/>
        </w:rPr>
      </w:pPr>
      <w:r>
        <w:rPr>
          <w:sz w:val="24"/>
        </w:rPr>
        <w:t>Nous utiliserons les commentaires que nous recevons pour :</w:t>
      </w:r>
    </w:p>
    <w:p w14:paraId="5055A876" w14:textId="77777777" w:rsidR="00083F0C" w:rsidRPr="00717D54" w:rsidRDefault="00083F0C" w:rsidP="00083F0C">
      <w:pPr>
        <w:keepNext/>
        <w:keepLines/>
        <w:spacing w:before="120" w:after="120"/>
        <w:outlineLvl w:val="2"/>
        <w:rPr>
          <w:rFonts w:eastAsia="Times New Roman" w:cstheme="majorBidi"/>
          <w:bCs/>
          <w:sz w:val="24"/>
          <w:szCs w:val="24"/>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12C93B5" w14:textId="77777777" w:rsidR="00083F0C" w:rsidRPr="0058741F" w:rsidRDefault="00083F0C" w:rsidP="00083F0C">
      <w:pPr>
        <w:keepNext/>
        <w:keepLines/>
        <w:spacing w:before="240" w:after="120"/>
        <w:outlineLvl w:val="2"/>
        <w:rPr>
          <w:rFonts w:eastAsia="Times New Roman" w:cstheme="majorBidi"/>
          <w:bCs/>
          <w:sz w:val="24"/>
          <w:szCs w:val="24"/>
        </w:rPr>
      </w:pPr>
      <w:r>
        <w:rPr>
          <w:sz w:val="24"/>
        </w:rPr>
        <w:t>(</w:t>
      </w:r>
      <w:r>
        <w:rPr>
          <w:b/>
          <w:sz w:val="24"/>
        </w:rPr>
        <w:t>Exemples</w:t>
      </w:r>
      <w:r>
        <w:rPr>
          <w:sz w:val="24"/>
        </w:rPr>
        <w:t xml:space="preserve"> : produire un rapport « Ce que nous avons entendu », le présenter à un groupe de travail interne et déterminer les prochaines étapes, y compris obtenir des commentaires supplémentaires; utiliser tous les commentaires pour vous aider à préparer votre rapport d’étape et votre prochain plan sur l’accessibilité.) </w:t>
      </w:r>
    </w:p>
    <w:p w14:paraId="262B3C41" w14:textId="77777777" w:rsidR="00083F0C" w:rsidRPr="009C510D" w:rsidRDefault="00083F0C" w:rsidP="009C510D">
      <w:pPr>
        <w:pStyle w:val="Heading3"/>
        <w:rPr>
          <w:rFonts w:asciiTheme="minorHAnsi" w:eastAsia="Times New Roman" w:hAnsiTheme="minorHAnsi" w:cstheme="minorHAnsi"/>
          <w:b/>
          <w:bCs/>
          <w:color w:val="auto"/>
          <w:sz w:val="28"/>
          <w:szCs w:val="36"/>
        </w:rPr>
      </w:pPr>
      <w:r w:rsidRPr="009C510D">
        <w:rPr>
          <w:rFonts w:asciiTheme="minorHAnsi" w:hAnsiTheme="minorHAnsi" w:cstheme="minorHAnsi"/>
          <w:b/>
          <w:bCs/>
          <w:color w:val="auto"/>
          <w:sz w:val="28"/>
          <w:szCs w:val="28"/>
        </w:rPr>
        <w:t xml:space="preserve">Contactez-nous : </w:t>
      </w:r>
    </w:p>
    <w:p w14:paraId="63B3579D" w14:textId="77777777" w:rsidR="00083F0C" w:rsidRPr="00B84394" w:rsidRDefault="00083F0C" w:rsidP="00083F0C">
      <w:pPr>
        <w:keepNext/>
        <w:keepLines/>
        <w:spacing w:before="120" w:after="60"/>
        <w:outlineLvl w:val="2"/>
        <w:rPr>
          <w:rFonts w:eastAsia="Times New Roman" w:cstheme="majorBidi"/>
          <w:bCs/>
          <w:sz w:val="24"/>
          <w:szCs w:val="24"/>
        </w:rPr>
      </w:pPr>
      <w:r w:rsidRPr="00B84394">
        <w:rPr>
          <w:b/>
          <w:i/>
          <w:sz w:val="24"/>
          <w:szCs w:val="24"/>
        </w:rPr>
        <w:t>(Contenu</w:t>
      </w:r>
      <w:r w:rsidRPr="00B84394">
        <w:rPr>
          <w:i/>
          <w:sz w:val="24"/>
          <w:szCs w:val="24"/>
        </w:rPr>
        <w:t xml:space="preserve"> </w:t>
      </w:r>
      <w:r w:rsidRPr="00B84394">
        <w:rPr>
          <w:b/>
          <w:i/>
          <w:sz w:val="24"/>
          <w:szCs w:val="24"/>
        </w:rPr>
        <w:t>exigé)</w:t>
      </w:r>
      <w:r w:rsidRPr="00B84394">
        <w:rPr>
          <w:b/>
          <w:sz w:val="24"/>
          <w:szCs w:val="24"/>
        </w:rPr>
        <w:t xml:space="preserve"> : </w:t>
      </w:r>
      <w:r w:rsidRPr="00B84394">
        <w:rPr>
          <w:sz w:val="24"/>
          <w:szCs w:val="24"/>
        </w:rPr>
        <w:t>Les méthodes de communication doivent comprendre le courriel, le téléphone, le courrier et tout autre moyen que vous utilisez pour communiquer avec le public (par exemple, les médias sociaux).</w:t>
      </w:r>
    </w:p>
    <w:p w14:paraId="72350ABF" w14:textId="77777777" w:rsidR="00083F0C" w:rsidRPr="00B84394" w:rsidRDefault="00083F0C" w:rsidP="00083F0C">
      <w:pPr>
        <w:numPr>
          <w:ilvl w:val="0"/>
          <w:numId w:val="10"/>
        </w:numPr>
        <w:spacing w:before="120" w:after="120"/>
        <w:rPr>
          <w:sz w:val="24"/>
          <w:szCs w:val="24"/>
          <w:u w:val="single"/>
        </w:rPr>
      </w:pPr>
      <w:r w:rsidRPr="00B84394">
        <w:rPr>
          <w:sz w:val="24"/>
          <w:szCs w:val="24"/>
        </w:rPr>
        <w:t xml:space="preserve">Courriel : </w:t>
      </w:r>
      <w:r w:rsidRPr="00B84394">
        <w:rPr>
          <w:sz w:val="24"/>
          <w:szCs w:val="24"/>
          <w:u w:val="single"/>
        </w:rPr>
        <w:tab/>
      </w:r>
      <w:r w:rsidRPr="00B84394">
        <w:rPr>
          <w:sz w:val="24"/>
          <w:szCs w:val="24"/>
          <w:u w:val="single"/>
        </w:rPr>
        <w:tab/>
      </w:r>
      <w:r w:rsidRPr="00B84394">
        <w:rPr>
          <w:sz w:val="24"/>
          <w:szCs w:val="24"/>
          <w:u w:val="single"/>
        </w:rPr>
        <w:tab/>
      </w:r>
      <w:r w:rsidRPr="00B84394">
        <w:rPr>
          <w:sz w:val="24"/>
          <w:szCs w:val="24"/>
          <w:u w:val="single"/>
        </w:rPr>
        <w:tab/>
      </w:r>
      <w:r w:rsidRPr="00B84394">
        <w:rPr>
          <w:sz w:val="24"/>
          <w:szCs w:val="24"/>
          <w:u w:val="single"/>
        </w:rPr>
        <w:tab/>
      </w:r>
      <w:r w:rsidRPr="00B84394">
        <w:rPr>
          <w:sz w:val="24"/>
          <w:szCs w:val="24"/>
          <w:u w:val="single"/>
        </w:rPr>
        <w:tab/>
        <w:t xml:space="preserve">   </w:t>
      </w:r>
    </w:p>
    <w:p w14:paraId="77EA2856" w14:textId="77777777" w:rsidR="00083F0C" w:rsidRPr="00B84394" w:rsidRDefault="00083F0C" w:rsidP="00083F0C">
      <w:pPr>
        <w:numPr>
          <w:ilvl w:val="0"/>
          <w:numId w:val="10"/>
        </w:numPr>
        <w:spacing w:before="120" w:after="120"/>
        <w:rPr>
          <w:sz w:val="24"/>
          <w:szCs w:val="24"/>
          <w:u w:val="single"/>
        </w:rPr>
      </w:pPr>
      <w:r w:rsidRPr="00B84394">
        <w:rPr>
          <w:sz w:val="24"/>
          <w:szCs w:val="24"/>
        </w:rPr>
        <w:t xml:space="preserve">Téléphone : </w:t>
      </w:r>
      <w:r w:rsidRPr="00B84394">
        <w:rPr>
          <w:sz w:val="24"/>
          <w:szCs w:val="24"/>
          <w:u w:val="single"/>
        </w:rPr>
        <w:tab/>
      </w:r>
      <w:r w:rsidRPr="00B84394">
        <w:rPr>
          <w:sz w:val="24"/>
          <w:szCs w:val="24"/>
          <w:u w:val="single"/>
        </w:rPr>
        <w:tab/>
      </w:r>
      <w:proofErr w:type="gramStart"/>
      <w:r w:rsidRPr="00B84394">
        <w:rPr>
          <w:sz w:val="24"/>
          <w:szCs w:val="24"/>
          <w:u w:val="single"/>
        </w:rPr>
        <w:tab/>
        <w:t xml:space="preserve"> </w:t>
      </w:r>
      <w:r w:rsidRPr="00B84394">
        <w:rPr>
          <w:sz w:val="24"/>
          <w:szCs w:val="24"/>
        </w:rPr>
        <w:t xml:space="preserve"> </w:t>
      </w:r>
      <w:r w:rsidRPr="00B84394">
        <w:rPr>
          <w:i/>
          <w:sz w:val="24"/>
          <w:szCs w:val="24"/>
        </w:rPr>
        <w:t>(</w:t>
      </w:r>
      <w:proofErr w:type="gramEnd"/>
      <w:r w:rsidRPr="00B84394">
        <w:rPr>
          <w:i/>
          <w:sz w:val="24"/>
          <w:szCs w:val="24"/>
        </w:rPr>
        <w:t>veuillez inclure un numéro 1-800 si votre organisation en possède un</w:t>
      </w:r>
      <w:r w:rsidRPr="00B84394">
        <w:rPr>
          <w:sz w:val="24"/>
          <w:szCs w:val="24"/>
        </w:rPr>
        <w:t>)</w:t>
      </w:r>
    </w:p>
    <w:p w14:paraId="6D1A5B42" w14:textId="77777777" w:rsidR="00083F0C" w:rsidRPr="00B84394" w:rsidRDefault="00083F0C" w:rsidP="00083F0C">
      <w:pPr>
        <w:numPr>
          <w:ilvl w:val="0"/>
          <w:numId w:val="10"/>
        </w:numPr>
        <w:spacing w:before="120" w:after="120"/>
        <w:rPr>
          <w:sz w:val="24"/>
          <w:szCs w:val="24"/>
        </w:rPr>
      </w:pPr>
      <w:r w:rsidRPr="00B84394">
        <w:rPr>
          <w:sz w:val="24"/>
          <w:szCs w:val="24"/>
        </w:rPr>
        <w:t xml:space="preserve">Courrier (adresse de votre entreprise accessible au public) : </w:t>
      </w:r>
      <w:r w:rsidRPr="00B84394">
        <w:rPr>
          <w:sz w:val="24"/>
          <w:szCs w:val="24"/>
          <w:u w:val="single"/>
        </w:rPr>
        <w:tab/>
      </w:r>
      <w:r w:rsidRPr="00B84394">
        <w:rPr>
          <w:sz w:val="24"/>
          <w:szCs w:val="24"/>
          <w:u w:val="single"/>
        </w:rPr>
        <w:tab/>
      </w:r>
      <w:r w:rsidRPr="00B84394">
        <w:rPr>
          <w:sz w:val="24"/>
          <w:szCs w:val="24"/>
          <w:u w:val="single"/>
        </w:rPr>
        <w:tab/>
      </w:r>
      <w:r w:rsidRPr="00B84394">
        <w:rPr>
          <w:sz w:val="24"/>
          <w:szCs w:val="24"/>
          <w:u w:val="single"/>
        </w:rPr>
        <w:tab/>
      </w:r>
      <w:r w:rsidRPr="00B84394">
        <w:rPr>
          <w:sz w:val="24"/>
          <w:szCs w:val="24"/>
          <w:u w:val="single"/>
        </w:rPr>
        <w:tab/>
      </w:r>
      <w:r w:rsidRPr="00B84394">
        <w:rPr>
          <w:sz w:val="24"/>
          <w:szCs w:val="24"/>
          <w:u w:val="single"/>
        </w:rPr>
        <w:tab/>
      </w:r>
      <w:r w:rsidRPr="00B84394">
        <w:rPr>
          <w:sz w:val="24"/>
          <w:szCs w:val="24"/>
        </w:rPr>
        <w:t xml:space="preserve"> </w:t>
      </w:r>
    </w:p>
    <w:p w14:paraId="272BE219" w14:textId="77777777" w:rsidR="00083F0C" w:rsidRPr="00B84394" w:rsidRDefault="00083F0C" w:rsidP="00083F0C">
      <w:pPr>
        <w:spacing w:before="120" w:after="120"/>
        <w:rPr>
          <w:sz w:val="24"/>
          <w:szCs w:val="24"/>
          <w:u w:val="single"/>
        </w:rPr>
      </w:pPr>
      <w:r w:rsidRPr="00B84394">
        <w:rPr>
          <w:sz w:val="24"/>
          <w:szCs w:val="24"/>
        </w:rPr>
        <w:tab/>
      </w:r>
      <w:r w:rsidRPr="00B84394">
        <w:rPr>
          <w:sz w:val="24"/>
          <w:szCs w:val="24"/>
          <w:u w:val="single"/>
        </w:rPr>
        <w:tab/>
      </w:r>
      <w:r w:rsidRPr="00B84394">
        <w:rPr>
          <w:sz w:val="24"/>
          <w:szCs w:val="24"/>
          <w:u w:val="single"/>
        </w:rPr>
        <w:tab/>
      </w:r>
      <w:r w:rsidRPr="00B84394">
        <w:rPr>
          <w:sz w:val="24"/>
          <w:szCs w:val="24"/>
          <w:u w:val="single"/>
        </w:rPr>
        <w:tab/>
      </w:r>
      <w:r w:rsidRPr="00B84394">
        <w:rPr>
          <w:sz w:val="24"/>
          <w:szCs w:val="24"/>
          <w:u w:val="single"/>
        </w:rPr>
        <w:tab/>
      </w:r>
      <w:r w:rsidRPr="00B84394">
        <w:rPr>
          <w:sz w:val="24"/>
          <w:szCs w:val="24"/>
          <w:u w:val="single"/>
        </w:rPr>
        <w:tab/>
      </w:r>
      <w:r w:rsidRPr="00B84394">
        <w:rPr>
          <w:sz w:val="24"/>
          <w:szCs w:val="24"/>
          <w:u w:val="single"/>
        </w:rPr>
        <w:tab/>
      </w:r>
    </w:p>
    <w:p w14:paraId="598D9AF1" w14:textId="77777777" w:rsidR="00083F0C" w:rsidRPr="00B84394" w:rsidRDefault="00083F0C" w:rsidP="00083F0C">
      <w:pPr>
        <w:numPr>
          <w:ilvl w:val="0"/>
          <w:numId w:val="11"/>
        </w:numPr>
        <w:spacing w:before="120" w:after="120"/>
        <w:rPr>
          <w:sz w:val="24"/>
          <w:szCs w:val="24"/>
          <w:u w:val="single"/>
        </w:rPr>
      </w:pPr>
      <w:r w:rsidRPr="00B84394">
        <w:rPr>
          <w:b/>
          <w:i/>
          <w:sz w:val="24"/>
          <w:szCs w:val="24"/>
        </w:rPr>
        <w:t>(Contenu recommandé)</w:t>
      </w:r>
      <w:r w:rsidRPr="00B84394">
        <w:rPr>
          <w:sz w:val="24"/>
          <w:szCs w:val="24"/>
        </w:rPr>
        <w:t xml:space="preserve"> Téléimprimeur </w:t>
      </w:r>
      <w:r w:rsidRPr="00B84394">
        <w:rPr>
          <w:i/>
          <w:sz w:val="24"/>
          <w:szCs w:val="24"/>
        </w:rPr>
        <w:t>(</w:t>
      </w:r>
      <w:r w:rsidRPr="00B84394">
        <w:rPr>
          <w:sz w:val="24"/>
          <w:szCs w:val="24"/>
        </w:rPr>
        <w:t>ATS)</w:t>
      </w:r>
      <w:r w:rsidRPr="00B84394">
        <w:rPr>
          <w:i/>
          <w:sz w:val="24"/>
          <w:szCs w:val="24"/>
        </w:rPr>
        <w:t xml:space="preserve"> (le cas échéant</w:t>
      </w:r>
      <w:r w:rsidRPr="00B84394">
        <w:rPr>
          <w:sz w:val="24"/>
          <w:szCs w:val="24"/>
        </w:rPr>
        <w:t xml:space="preserve">) : </w:t>
      </w:r>
      <w:r w:rsidRPr="00B84394">
        <w:rPr>
          <w:sz w:val="24"/>
          <w:szCs w:val="24"/>
          <w:u w:val="single"/>
        </w:rPr>
        <w:tab/>
      </w:r>
      <w:r w:rsidRPr="00B84394">
        <w:rPr>
          <w:sz w:val="24"/>
          <w:szCs w:val="24"/>
          <w:u w:val="single"/>
        </w:rPr>
        <w:tab/>
      </w:r>
      <w:r w:rsidRPr="00B84394">
        <w:rPr>
          <w:sz w:val="24"/>
          <w:szCs w:val="24"/>
          <w:u w:val="single"/>
        </w:rPr>
        <w:tab/>
      </w:r>
      <w:r w:rsidRPr="00B84394">
        <w:rPr>
          <w:sz w:val="24"/>
          <w:szCs w:val="24"/>
          <w:u w:val="single"/>
        </w:rPr>
        <w:tab/>
      </w:r>
    </w:p>
    <w:p w14:paraId="287E02CB" w14:textId="77777777" w:rsidR="00083F0C" w:rsidRPr="00B84394" w:rsidRDefault="00083F0C" w:rsidP="00083F0C">
      <w:pPr>
        <w:numPr>
          <w:ilvl w:val="0"/>
          <w:numId w:val="11"/>
        </w:numPr>
        <w:spacing w:before="120" w:after="120"/>
        <w:rPr>
          <w:rFonts w:cstheme="minorHAnsi"/>
          <w:color w:val="FF0000"/>
          <w:sz w:val="24"/>
          <w:szCs w:val="24"/>
        </w:rPr>
      </w:pPr>
      <w:bookmarkStart w:id="6" w:name="_Hlk149216094"/>
      <w:r w:rsidRPr="00B84394">
        <w:rPr>
          <w:b/>
          <w:i/>
          <w:sz w:val="24"/>
          <w:szCs w:val="24"/>
        </w:rPr>
        <w:t>(Contenu recommandé)</w:t>
      </w:r>
      <w:r w:rsidRPr="00B84394">
        <w:rPr>
          <w:sz w:val="24"/>
          <w:szCs w:val="24"/>
        </w:rPr>
        <w:t xml:space="preserve"> </w:t>
      </w:r>
      <w:bookmarkEnd w:id="6"/>
      <w:r w:rsidRPr="00B84394">
        <w:rPr>
          <w:sz w:val="24"/>
          <w:szCs w:val="24"/>
        </w:rPr>
        <w:t xml:space="preserve">Service de relais vidéo (SRV) : </w:t>
      </w:r>
      <w:hyperlink r:id="rId19" w:tgtFrame="_blank" w:history="1">
        <w:r w:rsidRPr="00B84394">
          <w:rPr>
            <w:color w:val="0535D2"/>
            <w:sz w:val="24"/>
            <w:szCs w:val="24"/>
            <w:u w:val="single"/>
            <w:shd w:val="clear" w:color="auto" w:fill="FFFFFF"/>
          </w:rPr>
          <w:t>SRV Canada</w:t>
        </w:r>
      </w:hyperlink>
    </w:p>
    <w:p w14:paraId="053DE72A" w14:textId="77777777" w:rsidR="00083F0C" w:rsidRDefault="00083F0C" w:rsidP="00083F0C"/>
    <w:p w14:paraId="0D2F499C" w14:textId="32D9D953" w:rsidR="005C2FF9" w:rsidRPr="00DD585C" w:rsidRDefault="005C2FF9" w:rsidP="00083F0C">
      <w:pPr>
        <w:contextualSpacing/>
        <w:rPr>
          <w:sz w:val="24"/>
          <w:szCs w:val="24"/>
        </w:rPr>
      </w:pPr>
    </w:p>
    <w:p w14:paraId="4E9B38EB" w14:textId="77777777" w:rsidR="0083334F" w:rsidRPr="00DD585C" w:rsidRDefault="0083334F" w:rsidP="0083334F">
      <w:pPr>
        <w:contextualSpacing/>
        <w:rPr>
          <w:sz w:val="24"/>
          <w:szCs w:val="24"/>
        </w:rPr>
      </w:pPr>
    </w:p>
    <w:p w14:paraId="361CF03B" w14:textId="77777777" w:rsidR="0083334F" w:rsidRPr="00DD585C" w:rsidRDefault="0083334F" w:rsidP="0083334F">
      <w:pPr>
        <w:contextualSpacing/>
        <w:rPr>
          <w:sz w:val="24"/>
          <w:szCs w:val="24"/>
        </w:rPr>
      </w:pPr>
    </w:p>
    <w:p w14:paraId="5856F383" w14:textId="77777777" w:rsidR="00CA7B06" w:rsidRPr="00DD585C" w:rsidRDefault="00CA7B06" w:rsidP="0083334F">
      <w:pPr>
        <w:spacing w:before="120" w:after="120"/>
        <w:rPr>
          <w:rFonts w:asciiTheme="majorHAnsi" w:hAnsiTheme="majorHAnsi" w:cstheme="majorHAnsi"/>
          <w:b/>
          <w:bCs/>
          <w:sz w:val="28"/>
          <w:szCs w:val="28"/>
        </w:rPr>
      </w:pPr>
    </w:p>
    <w:sectPr w:rsidR="00CA7B06" w:rsidRPr="00DD585C" w:rsidSect="00573FF3">
      <w:footerReference w:type="even" r:id="rId20"/>
      <w:footerReference w:type="default" r:id="rId21"/>
      <w:headerReference w:type="first" r:id="rId22"/>
      <w:footerReference w:type="firs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88B4" w14:textId="77777777" w:rsidR="00287471" w:rsidRDefault="00287471" w:rsidP="00547FDC">
      <w:pPr>
        <w:spacing w:after="0" w:line="240" w:lineRule="auto"/>
      </w:pPr>
      <w:r>
        <w:separator/>
      </w:r>
    </w:p>
  </w:endnote>
  <w:endnote w:type="continuationSeparator" w:id="0">
    <w:p w14:paraId="5C1A6834" w14:textId="77777777" w:rsidR="00287471" w:rsidRDefault="00287471" w:rsidP="00547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797211"/>
      <w:docPartObj>
        <w:docPartGallery w:val="Page Numbers (Bottom of Page)"/>
        <w:docPartUnique/>
      </w:docPartObj>
    </w:sdtPr>
    <w:sdtEndPr>
      <w:rPr>
        <w:noProof/>
      </w:rPr>
    </w:sdtEndPr>
    <w:sdtContent>
      <w:p w14:paraId="3D449A81" w14:textId="3442ABCA" w:rsidR="00DC6C5B" w:rsidRDefault="00DC6C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648B23" w14:textId="77777777" w:rsidR="00DC6C5B" w:rsidRDefault="00DC6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868304"/>
      <w:docPartObj>
        <w:docPartGallery w:val="Page Numbers (Bottom of Page)"/>
        <w:docPartUnique/>
      </w:docPartObj>
    </w:sdtPr>
    <w:sdtEndPr>
      <w:rPr>
        <w:noProof/>
      </w:rPr>
    </w:sdtEndPr>
    <w:sdtContent>
      <w:p w14:paraId="5F83CDBB" w14:textId="77777777" w:rsidR="00547FDC" w:rsidRDefault="00547FDC">
        <w:pPr>
          <w:pStyle w:val="Footer"/>
          <w:jc w:val="center"/>
        </w:pPr>
        <w:r>
          <w:fldChar w:fldCharType="begin"/>
        </w:r>
        <w:r>
          <w:instrText xml:space="preserve"> PAGE   \* MERGEFORMAT </w:instrText>
        </w:r>
        <w:r>
          <w:fldChar w:fldCharType="separate"/>
        </w:r>
        <w:r>
          <w:t>3</w:t>
        </w:r>
        <w:r>
          <w:fldChar w:fldCharType="end"/>
        </w:r>
      </w:p>
    </w:sdtContent>
  </w:sdt>
  <w:p w14:paraId="5E786103" w14:textId="77777777" w:rsidR="00547FDC" w:rsidRDefault="00547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FCF0" w14:textId="77777777" w:rsidR="00547FDC" w:rsidRDefault="00547FDC" w:rsidP="00D523BB">
    <w:pPr>
      <w:pStyle w:val="Footer"/>
    </w:pPr>
  </w:p>
  <w:p w14:paraId="6C7C4C04" w14:textId="77777777" w:rsidR="00547FDC" w:rsidRDefault="00547FDC" w:rsidP="00D523BB">
    <w:pPr>
      <w:pStyle w:val="Footer"/>
    </w:pPr>
  </w:p>
  <w:p w14:paraId="777D2492" w14:textId="01375FAB" w:rsidR="00547FDC" w:rsidRDefault="00547FDC" w:rsidP="00D52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312F" w14:textId="77777777" w:rsidR="00287471" w:rsidRDefault="00287471" w:rsidP="00547FDC">
      <w:pPr>
        <w:spacing w:after="0" w:line="240" w:lineRule="auto"/>
      </w:pPr>
      <w:r>
        <w:separator/>
      </w:r>
    </w:p>
  </w:footnote>
  <w:footnote w:type="continuationSeparator" w:id="0">
    <w:p w14:paraId="3D903C18" w14:textId="77777777" w:rsidR="00287471" w:rsidRDefault="00287471" w:rsidP="00547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EE4E" w14:textId="772AA94D" w:rsidR="00547FDC" w:rsidRDefault="00437A9B" w:rsidP="00D523BB">
    <w:pPr>
      <w:pStyle w:val="Header"/>
    </w:pPr>
    <w:r>
      <w:rPr>
        <w:noProof/>
      </w:rPr>
      <w:drawing>
        <wp:anchor distT="0" distB="0" distL="114300" distR="114300" simplePos="0" relativeHeight="251659264" behindDoc="1" locked="0" layoutInCell="1" allowOverlap="1" wp14:anchorId="3AADE13D" wp14:editId="0E3955DB">
          <wp:simplePos x="0" y="0"/>
          <wp:positionH relativeFrom="column">
            <wp:posOffset>-933450</wp:posOffset>
          </wp:positionH>
          <wp:positionV relativeFrom="paragraph">
            <wp:posOffset>-478106</wp:posOffset>
          </wp:positionV>
          <wp:extent cx="7810500" cy="949511"/>
          <wp:effectExtent l="0" t="0" r="0" b="3175"/>
          <wp:wrapNone/>
          <wp:docPr id="417665134" name="Picture 2" descr="Bannière noire comprenant le logo de la Commission canadienne des droits de la personne à 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65134" name="Picture 2" descr="Bannière noire comprenant le logo de la Commission canadienne des droits de la personne à gauche"/>
                  <pic:cNvPicPr/>
                </pic:nvPicPr>
                <pic:blipFill>
                  <a:blip r:embed="rId1">
                    <a:extLst>
                      <a:ext uri="{28A0092B-C50C-407E-A947-70E740481C1C}">
                        <a14:useLocalDpi xmlns:a14="http://schemas.microsoft.com/office/drawing/2010/main" val="0"/>
                      </a:ext>
                    </a:extLst>
                  </a:blip>
                  <a:stretch>
                    <a:fillRect/>
                  </a:stretch>
                </pic:blipFill>
                <pic:spPr>
                  <a:xfrm>
                    <a:off x="0" y="0"/>
                    <a:ext cx="7810500" cy="9495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608B"/>
    <w:multiLevelType w:val="multilevel"/>
    <w:tmpl w:val="D96A7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705CD"/>
    <w:multiLevelType w:val="hybridMultilevel"/>
    <w:tmpl w:val="56FEB4DA"/>
    <w:lvl w:ilvl="0" w:tplc="9B4402C0">
      <w:start w:val="1"/>
      <w:numFmt w:val="bullet"/>
      <w:lvlText w:val=""/>
      <w:lvlJc w:val="left"/>
      <w:pPr>
        <w:ind w:left="1440" w:hanging="360"/>
      </w:pPr>
      <w:rPr>
        <w:rFonts w:ascii="Symbol" w:hAnsi="Symbol"/>
      </w:rPr>
    </w:lvl>
    <w:lvl w:ilvl="1" w:tplc="CB483FFA">
      <w:start w:val="1"/>
      <w:numFmt w:val="bullet"/>
      <w:lvlText w:val=""/>
      <w:lvlJc w:val="left"/>
      <w:pPr>
        <w:ind w:left="1440" w:hanging="360"/>
      </w:pPr>
      <w:rPr>
        <w:rFonts w:ascii="Symbol" w:hAnsi="Symbol"/>
      </w:rPr>
    </w:lvl>
    <w:lvl w:ilvl="2" w:tplc="A7DC388E">
      <w:start w:val="1"/>
      <w:numFmt w:val="bullet"/>
      <w:lvlText w:val=""/>
      <w:lvlJc w:val="left"/>
      <w:pPr>
        <w:ind w:left="1440" w:hanging="360"/>
      </w:pPr>
      <w:rPr>
        <w:rFonts w:ascii="Symbol" w:hAnsi="Symbol"/>
      </w:rPr>
    </w:lvl>
    <w:lvl w:ilvl="3" w:tplc="06B8337C">
      <w:start w:val="1"/>
      <w:numFmt w:val="bullet"/>
      <w:lvlText w:val=""/>
      <w:lvlJc w:val="left"/>
      <w:pPr>
        <w:ind w:left="1440" w:hanging="360"/>
      </w:pPr>
      <w:rPr>
        <w:rFonts w:ascii="Symbol" w:hAnsi="Symbol"/>
      </w:rPr>
    </w:lvl>
    <w:lvl w:ilvl="4" w:tplc="67941360">
      <w:start w:val="1"/>
      <w:numFmt w:val="bullet"/>
      <w:lvlText w:val=""/>
      <w:lvlJc w:val="left"/>
      <w:pPr>
        <w:ind w:left="1440" w:hanging="360"/>
      </w:pPr>
      <w:rPr>
        <w:rFonts w:ascii="Symbol" w:hAnsi="Symbol"/>
      </w:rPr>
    </w:lvl>
    <w:lvl w:ilvl="5" w:tplc="BCB28E32">
      <w:start w:val="1"/>
      <w:numFmt w:val="bullet"/>
      <w:lvlText w:val=""/>
      <w:lvlJc w:val="left"/>
      <w:pPr>
        <w:ind w:left="1440" w:hanging="360"/>
      </w:pPr>
      <w:rPr>
        <w:rFonts w:ascii="Symbol" w:hAnsi="Symbol"/>
      </w:rPr>
    </w:lvl>
    <w:lvl w:ilvl="6" w:tplc="8FBA56BA">
      <w:start w:val="1"/>
      <w:numFmt w:val="bullet"/>
      <w:lvlText w:val=""/>
      <w:lvlJc w:val="left"/>
      <w:pPr>
        <w:ind w:left="1440" w:hanging="360"/>
      </w:pPr>
      <w:rPr>
        <w:rFonts w:ascii="Symbol" w:hAnsi="Symbol"/>
      </w:rPr>
    </w:lvl>
    <w:lvl w:ilvl="7" w:tplc="861EA10C">
      <w:start w:val="1"/>
      <w:numFmt w:val="bullet"/>
      <w:lvlText w:val=""/>
      <w:lvlJc w:val="left"/>
      <w:pPr>
        <w:ind w:left="1440" w:hanging="360"/>
      </w:pPr>
      <w:rPr>
        <w:rFonts w:ascii="Symbol" w:hAnsi="Symbol"/>
      </w:rPr>
    </w:lvl>
    <w:lvl w:ilvl="8" w:tplc="BFEC34D0">
      <w:start w:val="1"/>
      <w:numFmt w:val="bullet"/>
      <w:lvlText w:val=""/>
      <w:lvlJc w:val="left"/>
      <w:pPr>
        <w:ind w:left="1440" w:hanging="360"/>
      </w:pPr>
      <w:rPr>
        <w:rFonts w:ascii="Symbol" w:hAnsi="Symbol"/>
      </w:rPr>
    </w:lvl>
  </w:abstractNum>
  <w:abstractNum w:abstractNumId="2" w15:restartNumberingAfterBreak="0">
    <w:nsid w:val="298B6B6D"/>
    <w:multiLevelType w:val="hybridMultilevel"/>
    <w:tmpl w:val="E940B8E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34165AAF"/>
    <w:multiLevelType w:val="hybridMultilevel"/>
    <w:tmpl w:val="B21EBD2E"/>
    <w:lvl w:ilvl="0" w:tplc="10090003">
      <w:start w:val="1"/>
      <w:numFmt w:val="bullet"/>
      <w:lvlText w:val="o"/>
      <w:lvlJc w:val="left"/>
      <w:pPr>
        <w:ind w:left="810" w:hanging="360"/>
      </w:pPr>
      <w:rPr>
        <w:rFonts w:ascii="Courier New" w:hAnsi="Courier New" w:cs="Courier New" w:hint="default"/>
      </w:rPr>
    </w:lvl>
    <w:lvl w:ilvl="1" w:tplc="171C05AC">
      <w:start w:val="1"/>
      <w:numFmt w:val="bullet"/>
      <w:lvlText w:val=""/>
      <w:lvlJc w:val="left"/>
      <w:pPr>
        <w:ind w:left="1530" w:hanging="360"/>
      </w:pPr>
      <w:rPr>
        <w:rFonts w:ascii="Symbol" w:hAnsi="Symbol" w:hint="default"/>
        <w:sz w:val="20"/>
        <w:szCs w:val="20"/>
      </w:rPr>
    </w:lvl>
    <w:lvl w:ilvl="2" w:tplc="10090005">
      <w:start w:val="1"/>
      <w:numFmt w:val="bullet"/>
      <w:lvlText w:val=""/>
      <w:lvlJc w:val="left"/>
      <w:pPr>
        <w:ind w:left="2250" w:hanging="360"/>
      </w:pPr>
      <w:rPr>
        <w:rFonts w:ascii="Wingdings" w:hAnsi="Wingdings" w:hint="default"/>
      </w:rPr>
    </w:lvl>
    <w:lvl w:ilvl="3" w:tplc="1009000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4" w15:restartNumberingAfterBreak="0">
    <w:nsid w:val="38BF401F"/>
    <w:multiLevelType w:val="hybridMultilevel"/>
    <w:tmpl w:val="49269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E7C54F7"/>
    <w:multiLevelType w:val="hybridMultilevel"/>
    <w:tmpl w:val="A9A4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248F4"/>
    <w:multiLevelType w:val="hybridMultilevel"/>
    <w:tmpl w:val="81CC1766"/>
    <w:lvl w:ilvl="0" w:tplc="1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5962F9F"/>
    <w:multiLevelType w:val="hybridMultilevel"/>
    <w:tmpl w:val="57A49308"/>
    <w:lvl w:ilvl="0" w:tplc="4082216C">
      <w:start w:val="1"/>
      <w:numFmt w:val="bullet"/>
      <w:lvlText w:val=""/>
      <w:lvlJc w:val="left"/>
      <w:pPr>
        <w:ind w:left="1440" w:hanging="360"/>
      </w:pPr>
      <w:rPr>
        <w:rFonts w:ascii="Symbol" w:hAnsi="Symbol"/>
      </w:rPr>
    </w:lvl>
    <w:lvl w:ilvl="1" w:tplc="718EBDF4">
      <w:start w:val="1"/>
      <w:numFmt w:val="bullet"/>
      <w:lvlText w:val=""/>
      <w:lvlJc w:val="left"/>
      <w:pPr>
        <w:ind w:left="1440" w:hanging="360"/>
      </w:pPr>
      <w:rPr>
        <w:rFonts w:ascii="Symbol" w:hAnsi="Symbol"/>
      </w:rPr>
    </w:lvl>
    <w:lvl w:ilvl="2" w:tplc="BA34F922">
      <w:start w:val="1"/>
      <w:numFmt w:val="bullet"/>
      <w:lvlText w:val=""/>
      <w:lvlJc w:val="left"/>
      <w:pPr>
        <w:ind w:left="1440" w:hanging="360"/>
      </w:pPr>
      <w:rPr>
        <w:rFonts w:ascii="Symbol" w:hAnsi="Symbol"/>
      </w:rPr>
    </w:lvl>
    <w:lvl w:ilvl="3" w:tplc="2B4EBE1E">
      <w:start w:val="1"/>
      <w:numFmt w:val="bullet"/>
      <w:lvlText w:val=""/>
      <w:lvlJc w:val="left"/>
      <w:pPr>
        <w:ind w:left="1440" w:hanging="360"/>
      </w:pPr>
      <w:rPr>
        <w:rFonts w:ascii="Symbol" w:hAnsi="Symbol"/>
      </w:rPr>
    </w:lvl>
    <w:lvl w:ilvl="4" w:tplc="02863740">
      <w:start w:val="1"/>
      <w:numFmt w:val="bullet"/>
      <w:lvlText w:val=""/>
      <w:lvlJc w:val="left"/>
      <w:pPr>
        <w:ind w:left="1440" w:hanging="360"/>
      </w:pPr>
      <w:rPr>
        <w:rFonts w:ascii="Symbol" w:hAnsi="Symbol"/>
      </w:rPr>
    </w:lvl>
    <w:lvl w:ilvl="5" w:tplc="E460E416">
      <w:start w:val="1"/>
      <w:numFmt w:val="bullet"/>
      <w:lvlText w:val=""/>
      <w:lvlJc w:val="left"/>
      <w:pPr>
        <w:ind w:left="1440" w:hanging="360"/>
      </w:pPr>
      <w:rPr>
        <w:rFonts w:ascii="Symbol" w:hAnsi="Symbol"/>
      </w:rPr>
    </w:lvl>
    <w:lvl w:ilvl="6" w:tplc="9F980CDC">
      <w:start w:val="1"/>
      <w:numFmt w:val="bullet"/>
      <w:lvlText w:val=""/>
      <w:lvlJc w:val="left"/>
      <w:pPr>
        <w:ind w:left="1440" w:hanging="360"/>
      </w:pPr>
      <w:rPr>
        <w:rFonts w:ascii="Symbol" w:hAnsi="Symbol"/>
      </w:rPr>
    </w:lvl>
    <w:lvl w:ilvl="7" w:tplc="D500EB7C">
      <w:start w:val="1"/>
      <w:numFmt w:val="bullet"/>
      <w:lvlText w:val=""/>
      <w:lvlJc w:val="left"/>
      <w:pPr>
        <w:ind w:left="1440" w:hanging="360"/>
      </w:pPr>
      <w:rPr>
        <w:rFonts w:ascii="Symbol" w:hAnsi="Symbol"/>
      </w:rPr>
    </w:lvl>
    <w:lvl w:ilvl="8" w:tplc="AD86581A">
      <w:start w:val="1"/>
      <w:numFmt w:val="bullet"/>
      <w:lvlText w:val=""/>
      <w:lvlJc w:val="left"/>
      <w:pPr>
        <w:ind w:left="1440" w:hanging="360"/>
      </w:pPr>
      <w:rPr>
        <w:rFonts w:ascii="Symbol" w:hAnsi="Symbol"/>
      </w:rPr>
    </w:lvl>
  </w:abstractNum>
  <w:abstractNum w:abstractNumId="8" w15:restartNumberingAfterBreak="0">
    <w:nsid w:val="6A244215"/>
    <w:multiLevelType w:val="hybridMultilevel"/>
    <w:tmpl w:val="B9244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1A1E68"/>
    <w:multiLevelType w:val="hybridMultilevel"/>
    <w:tmpl w:val="4372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02FB6"/>
    <w:multiLevelType w:val="hybridMultilevel"/>
    <w:tmpl w:val="A0E86DA6"/>
    <w:lvl w:ilvl="0" w:tplc="D5B644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D5089"/>
    <w:multiLevelType w:val="hybridMultilevel"/>
    <w:tmpl w:val="A31E28A2"/>
    <w:lvl w:ilvl="0" w:tplc="10090003">
      <w:start w:val="1"/>
      <w:numFmt w:val="bullet"/>
      <w:lvlText w:val="o"/>
      <w:lvlJc w:val="left"/>
      <w:pPr>
        <w:ind w:left="810" w:hanging="360"/>
      </w:pPr>
      <w:rPr>
        <w:rFonts w:ascii="Courier New" w:hAnsi="Courier New" w:cs="Courier New" w:hint="default"/>
      </w:rPr>
    </w:lvl>
    <w:lvl w:ilvl="1" w:tplc="10090003">
      <w:start w:val="1"/>
      <w:numFmt w:val="bullet"/>
      <w:lvlText w:val="o"/>
      <w:lvlJc w:val="left"/>
      <w:pPr>
        <w:ind w:left="1530" w:hanging="360"/>
      </w:pPr>
      <w:rPr>
        <w:rFonts w:ascii="Courier New" w:hAnsi="Courier New" w:cs="Courier New" w:hint="default"/>
      </w:rPr>
    </w:lvl>
    <w:lvl w:ilvl="2" w:tplc="10090005">
      <w:start w:val="1"/>
      <w:numFmt w:val="bullet"/>
      <w:lvlText w:val=""/>
      <w:lvlJc w:val="left"/>
      <w:pPr>
        <w:ind w:left="2250" w:hanging="360"/>
      </w:pPr>
      <w:rPr>
        <w:rFonts w:ascii="Wingdings" w:hAnsi="Wingdings" w:hint="default"/>
      </w:rPr>
    </w:lvl>
    <w:lvl w:ilvl="3" w:tplc="1009000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2" w15:restartNumberingAfterBreak="0">
    <w:nsid w:val="78C33222"/>
    <w:multiLevelType w:val="hybridMultilevel"/>
    <w:tmpl w:val="235E1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2725936">
    <w:abstractNumId w:val="8"/>
  </w:num>
  <w:num w:numId="2" w16cid:durableId="58482315">
    <w:abstractNumId w:val="6"/>
  </w:num>
  <w:num w:numId="3" w16cid:durableId="1122066907">
    <w:abstractNumId w:val="2"/>
  </w:num>
  <w:num w:numId="4" w16cid:durableId="405297774">
    <w:abstractNumId w:val="3"/>
  </w:num>
  <w:num w:numId="5" w16cid:durableId="223836200">
    <w:abstractNumId w:val="11"/>
  </w:num>
  <w:num w:numId="6" w16cid:durableId="1806922995">
    <w:abstractNumId w:val="0"/>
  </w:num>
  <w:num w:numId="7" w16cid:durableId="1613439253">
    <w:abstractNumId w:val="9"/>
  </w:num>
  <w:num w:numId="8" w16cid:durableId="1328442902">
    <w:abstractNumId w:val="1"/>
  </w:num>
  <w:num w:numId="9" w16cid:durableId="951782536">
    <w:abstractNumId w:val="7"/>
  </w:num>
  <w:num w:numId="10" w16cid:durableId="1503543167">
    <w:abstractNumId w:val="5"/>
  </w:num>
  <w:num w:numId="11" w16cid:durableId="1013264216">
    <w:abstractNumId w:val="10"/>
  </w:num>
  <w:num w:numId="12" w16cid:durableId="1351368570">
    <w:abstractNumId w:val="12"/>
  </w:num>
  <w:num w:numId="13" w16cid:durableId="1594778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06"/>
    <w:rsid w:val="00010F85"/>
    <w:rsid w:val="00014B0D"/>
    <w:rsid w:val="0003033F"/>
    <w:rsid w:val="00070FED"/>
    <w:rsid w:val="00083F0C"/>
    <w:rsid w:val="000B15EE"/>
    <w:rsid w:val="000B22B2"/>
    <w:rsid w:val="000C38F8"/>
    <w:rsid w:val="000C66AC"/>
    <w:rsid w:val="001D07FE"/>
    <w:rsid w:val="001D7602"/>
    <w:rsid w:val="001E73D8"/>
    <w:rsid w:val="00222598"/>
    <w:rsid w:val="00267D59"/>
    <w:rsid w:val="00287471"/>
    <w:rsid w:val="002A322D"/>
    <w:rsid w:val="002C3367"/>
    <w:rsid w:val="002E38F1"/>
    <w:rsid w:val="0032171A"/>
    <w:rsid w:val="00384D53"/>
    <w:rsid w:val="00393B92"/>
    <w:rsid w:val="00437A9B"/>
    <w:rsid w:val="00476846"/>
    <w:rsid w:val="00492069"/>
    <w:rsid w:val="004A1792"/>
    <w:rsid w:val="004D79D4"/>
    <w:rsid w:val="00507959"/>
    <w:rsid w:val="00522161"/>
    <w:rsid w:val="00547FDC"/>
    <w:rsid w:val="00573FF3"/>
    <w:rsid w:val="005B1310"/>
    <w:rsid w:val="005C2FF9"/>
    <w:rsid w:val="005D62A7"/>
    <w:rsid w:val="00621244"/>
    <w:rsid w:val="006510AC"/>
    <w:rsid w:val="00651456"/>
    <w:rsid w:val="006540F9"/>
    <w:rsid w:val="00672CC6"/>
    <w:rsid w:val="006946FC"/>
    <w:rsid w:val="006D6C00"/>
    <w:rsid w:val="007144FE"/>
    <w:rsid w:val="00714E3F"/>
    <w:rsid w:val="00740B5D"/>
    <w:rsid w:val="007523DC"/>
    <w:rsid w:val="0083334F"/>
    <w:rsid w:val="00851586"/>
    <w:rsid w:val="00854057"/>
    <w:rsid w:val="00897105"/>
    <w:rsid w:val="008A42C3"/>
    <w:rsid w:val="008A5610"/>
    <w:rsid w:val="008A7638"/>
    <w:rsid w:val="008B64DB"/>
    <w:rsid w:val="009C510D"/>
    <w:rsid w:val="009C5809"/>
    <w:rsid w:val="009C659C"/>
    <w:rsid w:val="009E0A3D"/>
    <w:rsid w:val="00A07466"/>
    <w:rsid w:val="00A30FF1"/>
    <w:rsid w:val="00A93B3E"/>
    <w:rsid w:val="00AD7242"/>
    <w:rsid w:val="00B1426F"/>
    <w:rsid w:val="00B60F5B"/>
    <w:rsid w:val="00B801B4"/>
    <w:rsid w:val="00BB79A4"/>
    <w:rsid w:val="00BC72A3"/>
    <w:rsid w:val="00BD5459"/>
    <w:rsid w:val="00C15514"/>
    <w:rsid w:val="00CA7B06"/>
    <w:rsid w:val="00CC3E0C"/>
    <w:rsid w:val="00CE550E"/>
    <w:rsid w:val="00D420C2"/>
    <w:rsid w:val="00DC0008"/>
    <w:rsid w:val="00DC6C5B"/>
    <w:rsid w:val="00DD585C"/>
    <w:rsid w:val="00E46B5A"/>
    <w:rsid w:val="00EC4C8B"/>
    <w:rsid w:val="00EE31CC"/>
    <w:rsid w:val="00F76E88"/>
    <w:rsid w:val="00F90493"/>
    <w:rsid w:val="00F93ABA"/>
    <w:rsid w:val="00FA46C4"/>
    <w:rsid w:val="00FB0E8E"/>
    <w:rsid w:val="00FB78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CAF7F"/>
  <w15:chartTrackingRefBased/>
  <w15:docId w15:val="{F3A90FE9-3676-4F17-87C6-E9D187A9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7FE"/>
    <w:pPr>
      <w:keepNext/>
      <w:keepLines/>
      <w:spacing w:after="120"/>
      <w:outlineLvl w:val="0"/>
    </w:pPr>
    <w:rPr>
      <w:rFonts w:eastAsiaTheme="majorEastAsia" w:cstheme="minorHAnsi"/>
      <w:b/>
      <w:bCs/>
      <w:sz w:val="40"/>
      <w:szCs w:val="40"/>
    </w:rPr>
  </w:style>
  <w:style w:type="paragraph" w:styleId="Heading2">
    <w:name w:val="heading 2"/>
    <w:basedOn w:val="Heading1"/>
    <w:next w:val="Normal"/>
    <w:link w:val="Heading2Char"/>
    <w:uiPriority w:val="9"/>
    <w:unhideWhenUsed/>
    <w:qFormat/>
    <w:rsid w:val="007523DC"/>
    <w:pPr>
      <w:outlineLvl w:val="1"/>
    </w:pPr>
    <w:rPr>
      <w:sz w:val="36"/>
      <w:szCs w:val="36"/>
    </w:rPr>
  </w:style>
  <w:style w:type="paragraph" w:styleId="Heading3">
    <w:name w:val="heading 3"/>
    <w:basedOn w:val="Normal"/>
    <w:next w:val="Normal"/>
    <w:link w:val="Heading3Char"/>
    <w:uiPriority w:val="9"/>
    <w:unhideWhenUsed/>
    <w:qFormat/>
    <w:rsid w:val="009C51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7B06"/>
    <w:rPr>
      <w:sz w:val="16"/>
      <w:szCs w:val="16"/>
    </w:rPr>
  </w:style>
  <w:style w:type="paragraph" w:styleId="CommentText">
    <w:name w:val="annotation text"/>
    <w:basedOn w:val="Normal"/>
    <w:link w:val="CommentTextChar"/>
    <w:uiPriority w:val="99"/>
    <w:unhideWhenUsed/>
    <w:rsid w:val="00CA7B06"/>
    <w:pPr>
      <w:spacing w:line="240" w:lineRule="auto"/>
    </w:pPr>
    <w:rPr>
      <w:sz w:val="20"/>
      <w:szCs w:val="20"/>
    </w:rPr>
  </w:style>
  <w:style w:type="character" w:customStyle="1" w:styleId="CommentTextChar">
    <w:name w:val="Comment Text Char"/>
    <w:basedOn w:val="DefaultParagraphFont"/>
    <w:link w:val="CommentText"/>
    <w:uiPriority w:val="99"/>
    <w:rsid w:val="00CA7B06"/>
    <w:rPr>
      <w:sz w:val="20"/>
      <w:szCs w:val="20"/>
    </w:rPr>
  </w:style>
  <w:style w:type="paragraph" w:styleId="EndnoteText">
    <w:name w:val="endnote text"/>
    <w:basedOn w:val="Normal"/>
    <w:link w:val="EndnoteTextChar"/>
    <w:uiPriority w:val="99"/>
    <w:semiHidden/>
    <w:unhideWhenUsed/>
    <w:rsid w:val="00547F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7FDC"/>
    <w:rPr>
      <w:sz w:val="20"/>
      <w:szCs w:val="20"/>
    </w:rPr>
  </w:style>
  <w:style w:type="paragraph" w:styleId="Header">
    <w:name w:val="header"/>
    <w:basedOn w:val="Normal"/>
    <w:link w:val="HeaderChar"/>
    <w:uiPriority w:val="99"/>
    <w:unhideWhenUsed/>
    <w:rsid w:val="00547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FDC"/>
  </w:style>
  <w:style w:type="paragraph" w:styleId="Footer">
    <w:name w:val="footer"/>
    <w:basedOn w:val="Normal"/>
    <w:link w:val="FooterChar"/>
    <w:uiPriority w:val="99"/>
    <w:unhideWhenUsed/>
    <w:rsid w:val="00547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FDC"/>
  </w:style>
  <w:style w:type="character" w:styleId="Hyperlink">
    <w:name w:val="Hyperlink"/>
    <w:basedOn w:val="DefaultParagraphFont"/>
    <w:uiPriority w:val="99"/>
    <w:unhideWhenUsed/>
    <w:rsid w:val="0003033F"/>
    <w:rPr>
      <w:color w:val="0000FF"/>
      <w:u w:val="single"/>
    </w:rPr>
  </w:style>
  <w:style w:type="paragraph" w:styleId="Revision">
    <w:name w:val="Revision"/>
    <w:hidden/>
    <w:uiPriority w:val="99"/>
    <w:semiHidden/>
    <w:rsid w:val="006510AC"/>
    <w:pPr>
      <w:spacing w:after="0" w:line="240" w:lineRule="auto"/>
    </w:pPr>
  </w:style>
  <w:style w:type="paragraph" w:styleId="CommentSubject">
    <w:name w:val="annotation subject"/>
    <w:basedOn w:val="CommentText"/>
    <w:next w:val="CommentText"/>
    <w:link w:val="CommentSubjectChar"/>
    <w:uiPriority w:val="99"/>
    <w:semiHidden/>
    <w:unhideWhenUsed/>
    <w:rsid w:val="00507959"/>
    <w:rPr>
      <w:b/>
      <w:bCs/>
    </w:rPr>
  </w:style>
  <w:style w:type="character" w:customStyle="1" w:styleId="CommentSubjectChar">
    <w:name w:val="Comment Subject Char"/>
    <w:basedOn w:val="CommentTextChar"/>
    <w:link w:val="CommentSubject"/>
    <w:uiPriority w:val="99"/>
    <w:semiHidden/>
    <w:rsid w:val="00507959"/>
    <w:rPr>
      <w:b/>
      <w:bCs/>
      <w:sz w:val="20"/>
      <w:szCs w:val="20"/>
    </w:rPr>
  </w:style>
  <w:style w:type="character" w:customStyle="1" w:styleId="cf01">
    <w:name w:val="cf01"/>
    <w:basedOn w:val="DefaultParagraphFont"/>
    <w:rsid w:val="00BC72A3"/>
    <w:rPr>
      <w:rFonts w:ascii="Segoe UI" w:hAnsi="Segoe UI" w:cs="Segoe UI" w:hint="default"/>
      <w:sz w:val="18"/>
      <w:szCs w:val="18"/>
    </w:rPr>
  </w:style>
  <w:style w:type="character" w:styleId="FollowedHyperlink">
    <w:name w:val="FollowedHyperlink"/>
    <w:basedOn w:val="DefaultParagraphFont"/>
    <w:uiPriority w:val="99"/>
    <w:semiHidden/>
    <w:unhideWhenUsed/>
    <w:rsid w:val="00070FED"/>
    <w:rPr>
      <w:color w:val="954F72" w:themeColor="followedHyperlink"/>
      <w:u w:val="single"/>
    </w:rPr>
  </w:style>
  <w:style w:type="paragraph" w:styleId="Title">
    <w:name w:val="Title"/>
    <w:basedOn w:val="Normal"/>
    <w:next w:val="Normal"/>
    <w:link w:val="TitleChar"/>
    <w:uiPriority w:val="10"/>
    <w:qFormat/>
    <w:rsid w:val="00A30F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FF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83F0C"/>
    <w:pPr>
      <w:ind w:left="720"/>
      <w:contextualSpacing/>
    </w:pPr>
  </w:style>
  <w:style w:type="character" w:customStyle="1" w:styleId="Heading1Char">
    <w:name w:val="Heading 1 Char"/>
    <w:basedOn w:val="DefaultParagraphFont"/>
    <w:link w:val="Heading1"/>
    <w:uiPriority w:val="9"/>
    <w:rsid w:val="001D07FE"/>
    <w:rPr>
      <w:rFonts w:eastAsiaTheme="majorEastAsia" w:cstheme="minorHAnsi"/>
      <w:b/>
      <w:bCs/>
      <w:sz w:val="40"/>
      <w:szCs w:val="40"/>
    </w:rPr>
  </w:style>
  <w:style w:type="character" w:customStyle="1" w:styleId="Heading2Char">
    <w:name w:val="Heading 2 Char"/>
    <w:basedOn w:val="DefaultParagraphFont"/>
    <w:link w:val="Heading2"/>
    <w:uiPriority w:val="9"/>
    <w:rsid w:val="007523DC"/>
    <w:rPr>
      <w:rFonts w:eastAsiaTheme="majorEastAsia" w:cstheme="minorHAnsi"/>
      <w:b/>
      <w:bCs/>
      <w:sz w:val="36"/>
      <w:szCs w:val="36"/>
    </w:rPr>
  </w:style>
  <w:style w:type="paragraph" w:styleId="NoSpacing">
    <w:name w:val="No Spacing"/>
    <w:uiPriority w:val="1"/>
    <w:qFormat/>
    <w:rsid w:val="008A5610"/>
    <w:pPr>
      <w:spacing w:after="0" w:line="240" w:lineRule="auto"/>
    </w:pPr>
  </w:style>
  <w:style w:type="character" w:customStyle="1" w:styleId="Heading3Char">
    <w:name w:val="Heading 3 Char"/>
    <w:basedOn w:val="DefaultParagraphFont"/>
    <w:link w:val="Heading3"/>
    <w:uiPriority w:val="9"/>
    <w:rsid w:val="009C510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tc.gc.ca/fra/contact/" TargetMode="External"/><Relationship Id="rId18" Type="http://schemas.openxmlformats.org/officeDocument/2006/relationships/hyperlink" Target="https://www.accessibilitychrc.ca/fr/mon-portail-accessibilit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otc-cta.gc.ca/fra/contact-us" TargetMode="External"/><Relationship Id="rId17" Type="http://schemas.openxmlformats.org/officeDocument/2006/relationships/hyperlink" Target="https://www.accessibilitychrc.ca/fr/exigences-en-matiere-de-public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nada.ca/fr/emploi-developpement-social/programmes/directives-reglements-canadien-accessibilite/langag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tc-cta.gc.ca/fra/publication/guide-sur-plaintes-relatives-aux-transports-accessibl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aws-lois.justice.gc.ca/fra/lois/a-0.6/section-6.html" TargetMode="External"/><Relationship Id="rId23" Type="http://schemas.openxmlformats.org/officeDocument/2006/relationships/footer" Target="footer3.xml"/><Relationship Id="rId10" Type="http://schemas.openxmlformats.org/officeDocument/2006/relationships/hyperlink" Target="https://www.accessibilitychrc.ca/fr/processus-de-retroaction" TargetMode="External"/><Relationship Id="rId19" Type="http://schemas.openxmlformats.org/officeDocument/2006/relationships/hyperlink" Target="https://srvcanadavrs.ca/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cessibilitychrc.ca/fr/publications/exigences-relatives-la-notification-de-la-lca-pour-les-organismes-soumis-deu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01FCB5DDBC7246814F17A3851482E1" ma:contentTypeVersion="13" ma:contentTypeDescription="Create a new document." ma:contentTypeScope="" ma:versionID="23549b66f4c1bb45067be857bc793a10">
  <xsd:schema xmlns:xsd="http://www.w3.org/2001/XMLSchema" xmlns:xs="http://www.w3.org/2001/XMLSchema" xmlns:p="http://schemas.microsoft.com/office/2006/metadata/properties" xmlns:ns2="1c48d9f9-9c94-4cd5-a1af-04a7d0affc88" xmlns:ns3="0d81d729-89c4-4952-b666-0a894ff8d8bf" targetNamespace="http://schemas.microsoft.com/office/2006/metadata/properties" ma:root="true" ma:fieldsID="a9fc1c78a9f9a68bd70192cea412311a" ns2:_="" ns3:_="">
    <xsd:import namespace="1c48d9f9-9c94-4cd5-a1af-04a7d0affc88"/>
    <xsd:import namespace="0d81d729-89c4-4952-b666-0a894ff8d8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8d9f9-9c94-4cd5-a1af-04a7d0aff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16e59d-18f2-4f7f-88f6-9e7d7f26ee2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1d729-89c4-4952-b666-0a894ff8d8b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4c8d91-ab34-48b4-87e7-27bd0d66085f}" ma:internalName="TaxCatchAll" ma:showField="CatchAllData" ma:web="0d81d729-89c4-4952-b666-0a894ff8d8b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9B6F9-6A30-4F96-9BB3-4B3729314E2E}">
  <ds:schemaRefs>
    <ds:schemaRef ds:uri="http://schemas.microsoft.com/sharepoint/v3/contenttype/forms"/>
  </ds:schemaRefs>
</ds:datastoreItem>
</file>

<file path=customXml/itemProps2.xml><?xml version="1.0" encoding="utf-8"?>
<ds:datastoreItem xmlns:ds="http://schemas.openxmlformats.org/officeDocument/2006/customXml" ds:itemID="{8AE018DB-1D68-4D28-B356-D6D7225386F7}">
  <ds:schemaRefs>
    <ds:schemaRef ds:uri="http://schemas.openxmlformats.org/officeDocument/2006/bibliography"/>
  </ds:schemaRefs>
</ds:datastoreItem>
</file>

<file path=customXml/itemProps3.xml><?xml version="1.0" encoding="utf-8"?>
<ds:datastoreItem xmlns:ds="http://schemas.openxmlformats.org/officeDocument/2006/customXml" ds:itemID="{F3DD7E93-A3BB-4C90-B3DB-D3792BEAF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8d9f9-9c94-4cd5-a1af-04a7d0affc88"/>
    <ds:schemaRef ds:uri="0d81d729-89c4-4952-b666-0a894ff8d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et gabarit de description du processus de rétroaction</dc:title>
  <dc:subject/>
  <dc:creator>Mary-Jane Gravelle</dc:creator>
  <cp:keywords/>
  <dc:description/>
  <cp:lastModifiedBy>Robitaille, Véronique (CHRC/CCDP)</cp:lastModifiedBy>
  <cp:revision>3</cp:revision>
  <dcterms:created xsi:type="dcterms:W3CDTF">2023-11-29T19:52:00Z</dcterms:created>
  <dcterms:modified xsi:type="dcterms:W3CDTF">2023-11-30T12:50:00Z</dcterms:modified>
</cp:coreProperties>
</file>